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F1B8FA">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14:paraId="063CF6A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14:paraId="27DFF61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14:paraId="63CF938B">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14:paraId="055F913E">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14:paraId="3F628E9F">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 w:eastAsia="仿宋_GB2312" w:cs="仿宋"/>
          <w:sz w:val="32"/>
          <w:szCs w:val="32"/>
        </w:rPr>
      </w:pPr>
    </w:p>
    <w:p w14:paraId="26F00339">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eastAsia="楷体_GB2312"/>
          <w:color w:val="auto"/>
          <w:lang w:val="en-US" w:eastAsia="zh-CN"/>
        </w:rPr>
      </w:pPr>
      <w:r>
        <w:rPr>
          <w:rFonts w:hint="eastAsia" w:ascii="楷体_GB2312" w:hAnsi="楷体_GB2312" w:eastAsia="楷体_GB2312" w:cs="楷体_GB2312"/>
          <w:color w:val="auto"/>
          <w:sz w:val="32"/>
          <w:szCs w:val="32"/>
        </w:rPr>
        <w:t>滕交字〔20</w:t>
      </w:r>
      <w:r>
        <w:rPr>
          <w:rFonts w:hint="eastAsia" w:ascii="楷体_GB2312" w:hAnsi="楷体_GB2312" w:eastAsia="楷体_GB2312" w:cs="楷体_GB2312"/>
          <w:color w:val="auto"/>
          <w:sz w:val="32"/>
          <w:szCs w:val="32"/>
          <w:lang w:val="en-US" w:eastAsia="zh-CN"/>
        </w:rPr>
        <w:t>23</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10</w:t>
      </w:r>
      <w:r>
        <w:rPr>
          <w:rFonts w:hint="eastAsia" w:ascii="楷体_GB2312" w:hAnsi="楷体_GB2312" w:eastAsia="楷体_GB2312" w:cs="楷体_GB2312"/>
          <w:color w:val="auto"/>
          <w:sz w:val="32"/>
          <w:szCs w:val="32"/>
        </w:rPr>
        <w:t>号</w:t>
      </w:r>
    </w:p>
    <w:p w14:paraId="49703E48">
      <w:pPr>
        <w:keepNext w:val="0"/>
        <w:keepLines w:val="0"/>
        <w:pageBreakBefore w:val="0"/>
        <w:widowControl w:val="0"/>
        <w:kinsoku/>
        <w:wordWrap/>
        <w:overflowPunct/>
        <w:topLinePunct w:val="0"/>
        <w:autoSpaceDE/>
        <w:autoSpaceDN/>
        <w:bidi w:val="0"/>
        <w:adjustRightInd/>
        <w:snapToGrid/>
        <w:spacing w:line="600" w:lineRule="exact"/>
        <w:ind w:left="0" w:leftChars="0"/>
        <w:textAlignment w:val="auto"/>
        <w:rPr>
          <w:rFonts w:ascii="方正小标宋简体" w:hAnsi="方正小标宋简体" w:eastAsia="方正小标宋简体" w:cs="方正小标宋简体"/>
          <w:spacing w:val="-6"/>
          <w:sz w:val="44"/>
          <w:szCs w:val="44"/>
        </w:rPr>
      </w:pPr>
    </w:p>
    <w:p w14:paraId="77F2D66A">
      <w:pPr>
        <w:keepNext w:val="0"/>
        <w:keepLines w:val="0"/>
        <w:pageBreakBefore w:val="0"/>
        <w:kinsoku/>
        <w:wordWrap/>
        <w:topLinePunct w:val="0"/>
        <w:autoSpaceDE/>
        <w:autoSpaceDN/>
        <w:bidi w:val="0"/>
        <w:adjustRightInd/>
        <w:snapToGrid/>
        <w:spacing w:line="560" w:lineRule="exact"/>
        <w:ind w:left="0" w:leftChars="0"/>
        <w:jc w:val="center"/>
        <w:rPr>
          <w:rFonts w:ascii="方正小标宋简体" w:hAnsi="方正小标宋简体" w:eastAsia="方正小标宋简体" w:cs="方正小标宋简体"/>
          <w:spacing w:val="-6"/>
          <w:sz w:val="44"/>
          <w:szCs w:val="44"/>
        </w:rPr>
      </w:pPr>
      <w:r>
        <w:rPr>
          <w:rFonts w:hint="eastAsia" w:ascii="方正小标宋简体" w:hAnsi="方正小标宋简体" w:eastAsia="方正小标宋简体" w:cs="方正小标宋简体"/>
          <w:spacing w:val="-6"/>
          <w:sz w:val="44"/>
          <w:szCs w:val="44"/>
        </w:rPr>
        <w:t>滕州市交通运输局</w:t>
      </w:r>
    </w:p>
    <w:p w14:paraId="588FC681">
      <w:pPr>
        <w:keepNext w:val="0"/>
        <w:keepLines w:val="0"/>
        <w:pageBreakBefore w:val="0"/>
        <w:kinsoku/>
        <w:wordWrap/>
        <w:topLinePunct w:val="0"/>
        <w:autoSpaceDE/>
        <w:autoSpaceDN/>
        <w:bidi w:val="0"/>
        <w:adjustRightInd/>
        <w:snapToGrid/>
        <w:spacing w:line="560" w:lineRule="exact"/>
        <w:ind w:left="0" w:leftChars="0"/>
        <w:jc w:val="center"/>
        <w:rPr>
          <w:rFonts w:ascii="方正小标宋简体" w:hAnsi="方正小标宋简体" w:eastAsia="方正小标宋简体" w:cs="方正小标宋简体"/>
          <w:spacing w:val="-6"/>
          <w:sz w:val="44"/>
          <w:szCs w:val="44"/>
        </w:rPr>
      </w:pPr>
      <w:r>
        <w:rPr>
          <w:rFonts w:hint="eastAsia" w:ascii="方正小标宋简体" w:hAnsi="方正小标宋简体" w:eastAsia="方正小标宋简体" w:cs="方正小标宋简体"/>
          <w:spacing w:val="-6"/>
          <w:sz w:val="44"/>
          <w:szCs w:val="44"/>
        </w:rPr>
        <w:t>关于印发《滕州市交通运输系统2023年“安全</w:t>
      </w:r>
    </w:p>
    <w:p w14:paraId="7EDD4BCD">
      <w:pPr>
        <w:keepNext w:val="0"/>
        <w:keepLines w:val="0"/>
        <w:pageBreakBefore w:val="0"/>
        <w:kinsoku/>
        <w:wordWrap/>
        <w:topLinePunct w:val="0"/>
        <w:autoSpaceDE/>
        <w:autoSpaceDN/>
        <w:bidi w:val="0"/>
        <w:adjustRightInd/>
        <w:snapToGrid/>
        <w:spacing w:line="560" w:lineRule="exact"/>
        <w:ind w:left="0" w:leftChars="0"/>
        <w:jc w:val="center"/>
        <w:rPr>
          <w:rFonts w:ascii="方正小标宋简体" w:hAnsi="方正小标宋简体" w:eastAsia="方正小标宋简体" w:cs="方正小标宋简体"/>
          <w:spacing w:val="-6"/>
          <w:sz w:val="44"/>
          <w:szCs w:val="44"/>
        </w:rPr>
      </w:pPr>
      <w:r>
        <w:rPr>
          <w:rFonts w:hint="eastAsia" w:ascii="方正小标宋简体" w:hAnsi="方正小标宋简体" w:eastAsia="方正小标宋简体" w:cs="方正小标宋简体"/>
          <w:spacing w:val="-6"/>
          <w:sz w:val="44"/>
          <w:szCs w:val="44"/>
        </w:rPr>
        <w:t>生产月”活动实施方案》的通知</w:t>
      </w:r>
    </w:p>
    <w:p w14:paraId="1FE6E4B6">
      <w:pPr>
        <w:keepNext w:val="0"/>
        <w:keepLines w:val="0"/>
        <w:pageBreakBefore w:val="0"/>
        <w:kinsoku/>
        <w:wordWrap/>
        <w:topLinePunct w:val="0"/>
        <w:autoSpaceDE/>
        <w:autoSpaceDN/>
        <w:bidi w:val="0"/>
        <w:adjustRightInd/>
        <w:snapToGrid/>
        <w:spacing w:line="560" w:lineRule="exact"/>
        <w:ind w:left="0" w:leftChars="0"/>
        <w:jc w:val="center"/>
        <w:rPr>
          <w:rFonts w:ascii="宋体" w:hAnsi="宋体" w:cs="宋体"/>
          <w:sz w:val="44"/>
          <w:szCs w:val="44"/>
        </w:rPr>
      </w:pPr>
    </w:p>
    <w:p w14:paraId="04A5097B">
      <w:pPr>
        <w:keepNext w:val="0"/>
        <w:keepLines w:val="0"/>
        <w:pageBreakBefore w:val="0"/>
        <w:kinsoku/>
        <w:wordWrap/>
        <w:topLinePunct w:val="0"/>
        <w:autoSpaceDE/>
        <w:autoSpaceDN/>
        <w:bidi w:val="0"/>
        <w:adjustRightInd/>
        <w:snapToGrid/>
        <w:spacing w:line="560" w:lineRule="exact"/>
        <w:ind w:left="0" w:leftChars="0"/>
        <w:rPr>
          <w:rFonts w:hint="eastAsia" w:ascii="仿宋_GB2312" w:hAnsi="仿宋" w:eastAsia="仿宋_GB2312"/>
          <w:sz w:val="32"/>
          <w:szCs w:val="32"/>
        </w:rPr>
      </w:pPr>
      <w:r>
        <w:rPr>
          <w:rFonts w:hint="eastAsia" w:ascii="仿宋_GB2312" w:hAnsi="仿宋" w:eastAsia="仿宋_GB2312"/>
          <w:sz w:val="32"/>
          <w:szCs w:val="32"/>
        </w:rPr>
        <w:t>局属各单位</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各运输企业：</w:t>
      </w:r>
    </w:p>
    <w:p w14:paraId="35A3A85F">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按照</w:t>
      </w:r>
      <w:r>
        <w:rPr>
          <w:rFonts w:hint="eastAsia" w:ascii="仿宋_GB2312" w:hAnsi="仿宋" w:eastAsia="仿宋_GB2312"/>
          <w:sz w:val="32"/>
          <w:szCs w:val="32"/>
        </w:rPr>
        <w:t>市安委会和枣庄市交通运输局</w:t>
      </w:r>
      <w:r>
        <w:rPr>
          <w:rFonts w:hint="eastAsia" w:ascii="仿宋_GB2312" w:hAnsi="仿宋_GB2312" w:eastAsia="仿宋_GB2312" w:cs="仿宋_GB2312"/>
          <w:sz w:val="32"/>
          <w:szCs w:val="32"/>
          <w:highlight w:val="none"/>
          <w:lang w:eastAsia="zh-CN"/>
        </w:rPr>
        <w:t>统一安排部署</w:t>
      </w:r>
      <w:r>
        <w:rPr>
          <w:rFonts w:hint="eastAsia" w:ascii="仿宋_GB2312" w:hAnsi="仿宋" w:eastAsia="仿宋_GB2312" w:cs="仿宋_GB2312"/>
          <w:sz w:val="32"/>
          <w:szCs w:val="32"/>
        </w:rPr>
        <w:t>，结合我市交通运输工作实际，</w:t>
      </w:r>
      <w:r>
        <w:rPr>
          <w:rFonts w:hint="eastAsia" w:ascii="仿宋_GB2312" w:hAnsi="仿宋" w:eastAsia="仿宋_GB2312" w:cs="仿宋_GB2312"/>
          <w:sz w:val="32"/>
          <w:szCs w:val="32"/>
          <w:lang w:val="en-US" w:eastAsia="zh-CN"/>
        </w:rPr>
        <w:t>制定了</w:t>
      </w:r>
      <w:r>
        <w:rPr>
          <w:rFonts w:hint="eastAsia" w:ascii="仿宋_GB2312" w:hAnsi="仿宋" w:eastAsia="仿宋_GB2312" w:cs="仿宋_GB2312"/>
          <w:sz w:val="32"/>
          <w:szCs w:val="32"/>
        </w:rPr>
        <w:t>《滕州市交通运输系统2023年“安全生产月”活动实施方案》，现印发给你们，请认真抓好贯彻落实。</w:t>
      </w:r>
    </w:p>
    <w:p w14:paraId="40142C59">
      <w:pPr>
        <w:keepNext w:val="0"/>
        <w:keepLines w:val="0"/>
        <w:pageBreakBefore w:val="0"/>
        <w:kinsoku/>
        <w:wordWrap/>
        <w:topLinePunct w:val="0"/>
        <w:autoSpaceDE/>
        <w:autoSpaceDN/>
        <w:bidi w:val="0"/>
        <w:adjustRightInd/>
        <w:snapToGrid/>
        <w:spacing w:line="560" w:lineRule="exact"/>
        <w:ind w:left="0" w:leftChars="0"/>
        <w:rPr>
          <w:rFonts w:hint="eastAsia" w:ascii="仿宋_GB2312" w:hAnsi="仿宋" w:eastAsia="仿宋_GB2312" w:cs="仿宋_GB2312"/>
          <w:sz w:val="32"/>
          <w:szCs w:val="32"/>
        </w:rPr>
      </w:pPr>
    </w:p>
    <w:p w14:paraId="50BE85B3">
      <w:pPr>
        <w:keepNext w:val="0"/>
        <w:keepLines w:val="0"/>
        <w:pageBreakBefore w:val="0"/>
        <w:kinsoku/>
        <w:wordWrap/>
        <w:topLinePunct w:val="0"/>
        <w:autoSpaceDE/>
        <w:autoSpaceDN/>
        <w:bidi w:val="0"/>
        <w:adjustRightInd/>
        <w:snapToGrid/>
        <w:spacing w:line="560" w:lineRule="exact"/>
        <w:ind w:left="0" w:leftChars="0"/>
        <w:rPr>
          <w:rFonts w:hint="eastAsia" w:ascii="仿宋_GB2312" w:hAnsi="仿宋" w:eastAsia="仿宋_GB2312"/>
        </w:rPr>
      </w:pPr>
    </w:p>
    <w:p w14:paraId="116C3956">
      <w:pPr>
        <w:keepNext w:val="0"/>
        <w:keepLines w:val="0"/>
        <w:pageBreakBefore w:val="0"/>
        <w:kinsoku/>
        <w:wordWrap/>
        <w:topLinePunct w:val="0"/>
        <w:autoSpaceDE/>
        <w:autoSpaceDN/>
        <w:bidi w:val="0"/>
        <w:adjustRightInd/>
        <w:snapToGrid/>
        <w:spacing w:line="560" w:lineRule="exact"/>
        <w:ind w:left="0" w:leftChars="0" w:firstLine="4960" w:firstLineChars="1550"/>
        <w:rPr>
          <w:rFonts w:hint="eastAsia" w:ascii="仿宋_GB2312" w:hAnsi="仿宋" w:eastAsia="仿宋_GB2312" w:cs="仿宋_GB2312"/>
          <w:sz w:val="32"/>
          <w:szCs w:val="32"/>
        </w:rPr>
      </w:pPr>
      <w:r>
        <w:rPr>
          <w:rFonts w:hint="eastAsia" w:ascii="仿宋_GB2312" w:hAnsi="仿宋" w:eastAsia="仿宋_GB2312" w:cs="仿宋_GB2312"/>
          <w:sz w:val="32"/>
          <w:szCs w:val="32"/>
        </w:rPr>
        <w:t>滕州市交通运输局</w:t>
      </w:r>
    </w:p>
    <w:p w14:paraId="1E53D36E">
      <w:pPr>
        <w:keepNext w:val="0"/>
        <w:keepLines w:val="0"/>
        <w:pageBreakBefore w:val="0"/>
        <w:kinsoku/>
        <w:wordWrap/>
        <w:topLinePunct w:val="0"/>
        <w:autoSpaceDE/>
        <w:autoSpaceDN/>
        <w:bidi w:val="0"/>
        <w:adjustRightInd/>
        <w:snapToGrid/>
        <w:spacing w:line="560" w:lineRule="exact"/>
        <w:ind w:left="0" w:leftChars="0" w:firstLine="4960" w:firstLineChars="1550"/>
        <w:rPr>
          <w:rFonts w:hint="eastAsia" w:ascii="仿宋_GB2312" w:hAnsi="仿宋" w:eastAsia="仿宋_GB2312" w:cs="仿宋_GB2312"/>
          <w:sz w:val="32"/>
          <w:szCs w:val="32"/>
        </w:rPr>
      </w:pPr>
      <w:r>
        <w:rPr>
          <w:rFonts w:hint="eastAsia" w:ascii="仿宋_GB2312" w:hAnsi="仿宋" w:eastAsia="仿宋_GB2312" w:cs="仿宋_GB2312"/>
          <w:sz w:val="32"/>
          <w:szCs w:val="32"/>
        </w:rPr>
        <w:t>2023年5月31日</w:t>
      </w:r>
    </w:p>
    <w:p w14:paraId="38D6CCCD">
      <w:pPr>
        <w:pStyle w:val="2"/>
        <w:keepNext w:val="0"/>
        <w:keepLines w:val="0"/>
        <w:pageBreakBefore w:val="0"/>
        <w:kinsoku/>
        <w:wordWrap/>
        <w:topLinePunct w:val="0"/>
        <w:autoSpaceDE/>
        <w:autoSpaceDN/>
        <w:bidi w:val="0"/>
        <w:adjustRightInd/>
        <w:snapToGrid/>
        <w:spacing w:line="560" w:lineRule="exact"/>
        <w:ind w:left="0" w:leftChars="0"/>
      </w:pPr>
    </w:p>
    <w:p w14:paraId="5049BA6E">
      <w:pPr>
        <w:keepNext w:val="0"/>
        <w:keepLines w:val="0"/>
        <w:pageBreakBefore w:val="0"/>
        <w:kinsoku/>
        <w:wordWrap/>
        <w:topLinePunct w:val="0"/>
        <w:autoSpaceDE/>
        <w:autoSpaceDN/>
        <w:bidi w:val="0"/>
        <w:adjustRightInd/>
        <w:snapToGrid/>
        <w:spacing w:line="560" w:lineRule="exact"/>
        <w:ind w:left="0" w:leftChars="0"/>
      </w:pPr>
    </w:p>
    <w:p w14:paraId="3EF29E55">
      <w:pPr>
        <w:keepNext w:val="0"/>
        <w:keepLines w:val="0"/>
        <w:pageBreakBefore w:val="0"/>
        <w:widowControl w:val="0"/>
        <w:pBdr>
          <w:top w:val="single" w:color="auto" w:sz="12" w:space="0"/>
          <w:left w:val="none" w:color="auto" w:sz="0" w:space="4"/>
          <w:bottom w:val="single" w:color="auto" w:sz="12" w:space="0"/>
          <w:right w:val="none" w:color="auto" w:sz="0" w:space="4"/>
          <w:between w:val="none" w:color="auto" w:sz="0" w:space="0"/>
        </w:pBdr>
        <w:tabs>
          <w:tab w:val="left" w:pos="4251"/>
        </w:tabs>
        <w:kinsoku/>
        <w:wordWrap/>
        <w:overflowPunct/>
        <w:topLinePunct w:val="0"/>
        <w:autoSpaceDE/>
        <w:autoSpaceDN/>
        <w:bidi w:val="0"/>
        <w:adjustRightInd w:val="0"/>
        <w:snapToGrid w:val="0"/>
        <w:spacing w:line="440" w:lineRule="exact"/>
        <w:ind w:firstLine="56" w:firstLineChars="20"/>
        <w:jc w:val="left"/>
        <w:textAlignment w:val="auto"/>
        <w:rPr>
          <w:rFonts w:hint="default"/>
          <w:lang w:val="en-US" w:eastAsia="zh-CN"/>
        </w:rPr>
      </w:pPr>
      <w:r>
        <w:rPr>
          <w:rFonts w:hint="eastAsia" w:ascii="仿宋_GB2312" w:hAnsi="仿宋_GB2312" w:eastAsia="仿宋_GB2312" w:cs="仿宋_GB2312"/>
          <w:color w:val="000000"/>
          <w:kern w:val="10"/>
          <w:sz w:val="28"/>
          <w:szCs w:val="28"/>
        </w:rPr>
        <w:t>滕州市交通运输局</w:t>
      </w:r>
      <w:r>
        <w:rPr>
          <w:rFonts w:hint="eastAsia" w:ascii="仿宋_GB2312" w:hAnsi="仿宋_GB2312" w:eastAsia="仿宋_GB2312" w:cs="仿宋_GB2312"/>
          <w:color w:val="000000"/>
          <w:kern w:val="10"/>
          <w:sz w:val="28"/>
          <w:szCs w:val="28"/>
          <w:lang w:eastAsia="zh-CN"/>
        </w:rPr>
        <w:t>办公三室</w:t>
      </w:r>
      <w:r>
        <w:rPr>
          <w:rFonts w:hint="eastAsia" w:ascii="仿宋_GB2312" w:hAnsi="仿宋_GB2312" w:eastAsia="仿宋_GB2312" w:cs="仿宋_GB2312"/>
          <w:color w:val="000000"/>
          <w:kern w:val="10"/>
          <w:sz w:val="28"/>
          <w:szCs w:val="28"/>
        </w:rPr>
        <w:t xml:space="preserve">           </w:t>
      </w:r>
      <w:r>
        <w:rPr>
          <w:rFonts w:hint="eastAsia" w:ascii="仿宋_GB2312" w:hAnsi="仿宋_GB2312" w:eastAsia="仿宋_GB2312" w:cs="仿宋_GB2312"/>
          <w:color w:val="000000"/>
          <w:kern w:val="10"/>
          <w:sz w:val="28"/>
          <w:szCs w:val="28"/>
          <w:lang w:val="en-US" w:eastAsia="zh-CN"/>
        </w:rPr>
        <w:t xml:space="preserve">       </w:t>
      </w:r>
      <w:r>
        <w:rPr>
          <w:rFonts w:hint="eastAsia" w:ascii="仿宋_GB2312" w:hAnsi="仿宋_GB2312" w:eastAsia="仿宋_GB2312" w:cs="仿宋_GB2312"/>
          <w:color w:val="000000"/>
          <w:kern w:val="10"/>
          <w:sz w:val="28"/>
          <w:szCs w:val="28"/>
        </w:rPr>
        <w:t>20</w:t>
      </w:r>
      <w:r>
        <w:rPr>
          <w:rFonts w:hint="eastAsia" w:ascii="仿宋_GB2312" w:hAnsi="仿宋_GB2312" w:eastAsia="仿宋_GB2312" w:cs="仿宋_GB2312"/>
          <w:color w:val="000000"/>
          <w:kern w:val="10"/>
          <w:sz w:val="28"/>
          <w:szCs w:val="28"/>
          <w:lang w:val="en-US" w:eastAsia="zh-CN"/>
        </w:rPr>
        <w:t>23</w:t>
      </w:r>
      <w:r>
        <w:rPr>
          <w:rFonts w:hint="eastAsia" w:ascii="仿宋_GB2312" w:hAnsi="仿宋_GB2312" w:eastAsia="仿宋_GB2312" w:cs="仿宋_GB2312"/>
          <w:color w:val="000000"/>
          <w:kern w:val="10"/>
          <w:sz w:val="28"/>
          <w:szCs w:val="28"/>
        </w:rPr>
        <w:t>年</w:t>
      </w:r>
      <w:r>
        <w:rPr>
          <w:rFonts w:hint="eastAsia" w:ascii="仿宋_GB2312" w:hAnsi="仿宋_GB2312" w:eastAsia="仿宋_GB2312" w:cs="仿宋_GB2312"/>
          <w:color w:val="000000"/>
          <w:kern w:val="10"/>
          <w:sz w:val="28"/>
          <w:szCs w:val="28"/>
          <w:lang w:val="en-US" w:eastAsia="zh-CN"/>
        </w:rPr>
        <w:t>5</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31</w:t>
      </w:r>
      <w:r>
        <w:rPr>
          <w:rFonts w:hint="eastAsia" w:ascii="仿宋_GB2312" w:hAnsi="仿宋_GB2312" w:eastAsia="仿宋_GB2312" w:cs="仿宋_GB2312"/>
          <w:color w:val="000000"/>
          <w:sz w:val="28"/>
          <w:szCs w:val="28"/>
        </w:rPr>
        <w:t>日</w:t>
      </w:r>
      <w:r>
        <w:rPr>
          <w:rFonts w:hint="eastAsia" w:ascii="仿宋_GB2312" w:hAnsi="仿宋_GB2312" w:eastAsia="仿宋_GB2312" w:cs="仿宋_GB2312"/>
          <w:color w:val="000000"/>
          <w:kern w:val="10"/>
          <w:sz w:val="28"/>
          <w:szCs w:val="28"/>
        </w:rPr>
        <w:t>印</w:t>
      </w:r>
      <w:r>
        <w:rPr>
          <w:rFonts w:hint="eastAsia" w:ascii="仿宋_GB2312" w:hAnsi="仿宋_GB2312" w:eastAsia="仿宋_GB2312" w:cs="仿宋_GB2312"/>
          <w:color w:val="000000"/>
          <w:kern w:val="10"/>
          <w:sz w:val="28"/>
          <w:szCs w:val="28"/>
          <w:lang w:val="en-US" w:eastAsia="zh-CN"/>
        </w:rPr>
        <w:t>发</w:t>
      </w:r>
    </w:p>
    <w:p w14:paraId="22D4BF0F">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jc w:val="both"/>
        <w:rPr>
          <w:rStyle w:val="17"/>
          <w:rFonts w:hint="eastAsia" w:ascii="方正小标宋简体" w:hAnsi="方正小标宋简体" w:eastAsia="方正小标宋简体" w:cs="方正小标宋简体"/>
          <w:b w:val="0"/>
          <w:bCs/>
          <w:sz w:val="44"/>
          <w:szCs w:val="44"/>
        </w:rPr>
      </w:pPr>
    </w:p>
    <w:p w14:paraId="22806913">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jc w:val="center"/>
        <w:rPr>
          <w:rStyle w:val="17"/>
          <w:rFonts w:ascii="方正小标宋简体" w:hAnsi="方正小标宋简体" w:eastAsia="方正小标宋简体" w:cs="方正小标宋简体"/>
          <w:b w:val="0"/>
          <w:bCs/>
          <w:sz w:val="44"/>
          <w:szCs w:val="44"/>
        </w:rPr>
      </w:pPr>
      <w:r>
        <w:rPr>
          <w:rStyle w:val="17"/>
          <w:rFonts w:hint="eastAsia" w:ascii="方正小标宋简体" w:hAnsi="方正小标宋简体" w:eastAsia="方正小标宋简体" w:cs="方正小标宋简体"/>
          <w:b w:val="0"/>
          <w:bCs/>
          <w:sz w:val="44"/>
          <w:szCs w:val="44"/>
        </w:rPr>
        <w:t>滕州市交通运输系统</w:t>
      </w:r>
    </w:p>
    <w:p w14:paraId="2111B4B1">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jc w:val="center"/>
        <w:rPr>
          <w:rStyle w:val="17"/>
          <w:rFonts w:ascii="方正小标宋简体" w:hAnsi="方正小标宋简体" w:eastAsia="方正小标宋简体" w:cs="方正小标宋简体"/>
          <w:b w:val="0"/>
          <w:bCs/>
          <w:sz w:val="44"/>
          <w:szCs w:val="44"/>
        </w:rPr>
      </w:pPr>
      <w:r>
        <w:rPr>
          <w:rStyle w:val="17"/>
          <w:rFonts w:hint="eastAsia" w:ascii="方正小标宋简体" w:hAnsi="方正小标宋简体" w:eastAsia="方正小标宋简体" w:cs="方正小标宋简体"/>
          <w:b w:val="0"/>
          <w:bCs/>
          <w:sz w:val="44"/>
          <w:szCs w:val="44"/>
        </w:rPr>
        <w:t>2023年“安全生产月”活动实施方案</w:t>
      </w:r>
    </w:p>
    <w:p w14:paraId="1A0200CC">
      <w:pPr>
        <w:keepNext w:val="0"/>
        <w:keepLines w:val="0"/>
        <w:pageBreakBefore w:val="0"/>
        <w:kinsoku/>
        <w:wordWrap/>
        <w:topLinePunct w:val="0"/>
        <w:autoSpaceDE/>
        <w:autoSpaceDN/>
        <w:bidi w:val="0"/>
        <w:adjustRightInd/>
        <w:snapToGrid/>
        <w:spacing w:line="560" w:lineRule="exact"/>
        <w:ind w:left="0" w:leftChars="0"/>
        <w:rPr>
          <w:rFonts w:hint="eastAsia" w:ascii="仿宋_GB2312" w:hAnsi="仿宋" w:eastAsia="仿宋_GB2312" w:cs="Times New Roman"/>
          <w:sz w:val="32"/>
          <w:szCs w:val="32"/>
        </w:rPr>
      </w:pPr>
    </w:p>
    <w:p w14:paraId="7D0FA245">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今年6月是第22个全国“安全生产月”，为认真贯彻落实习近平总书记关于安全生产重要论述，</w:t>
      </w:r>
      <w:r>
        <w:rPr>
          <w:rFonts w:hint="eastAsia" w:ascii="仿宋_GB2312" w:hAnsi="仿宋" w:eastAsia="仿宋_GB2312" w:cs="楷体_GB2312"/>
          <w:color w:val="auto"/>
          <w:spacing w:val="-4"/>
          <w:kern w:val="2"/>
          <w:sz w:val="32"/>
          <w:szCs w:val="32"/>
          <w:highlight w:val="none"/>
          <w:lang w:eastAsia="zh-CN"/>
        </w:rPr>
        <w:t>全面提升全市交通运输领域安全生产能力和水平，</w:t>
      </w:r>
      <w:r>
        <w:rPr>
          <w:rFonts w:hint="eastAsia" w:ascii="仿宋_GB2312" w:hAnsi="仿宋" w:eastAsia="仿宋_GB2312" w:cs="Times New Roman"/>
          <w:sz w:val="32"/>
          <w:szCs w:val="32"/>
        </w:rPr>
        <w:t>护航</w:t>
      </w:r>
      <w:r>
        <w:rPr>
          <w:rFonts w:hint="eastAsia" w:ascii="仿宋_GB2312" w:hAnsi="仿宋" w:eastAsia="仿宋_GB2312" w:cs="Times New Roman"/>
          <w:sz w:val="32"/>
          <w:szCs w:val="32"/>
          <w:lang w:val="en-US" w:eastAsia="zh-CN"/>
        </w:rPr>
        <w:t>我</w:t>
      </w:r>
      <w:r>
        <w:rPr>
          <w:rFonts w:hint="eastAsia" w:ascii="仿宋_GB2312" w:hAnsi="仿宋" w:eastAsia="仿宋_GB2312" w:cs="Times New Roman"/>
          <w:sz w:val="32"/>
          <w:szCs w:val="32"/>
        </w:rPr>
        <w:t>市“强工兴产、</w:t>
      </w:r>
      <w:r>
        <w:rPr>
          <w:rFonts w:hint="eastAsia" w:ascii="仿宋_GB2312" w:hAnsi="仿宋" w:eastAsia="仿宋_GB2312" w:cs="Times New Roman"/>
          <w:sz w:val="32"/>
          <w:szCs w:val="32"/>
          <w:lang w:val="en-US" w:eastAsia="zh-CN"/>
        </w:rPr>
        <w:t>项目突破</w:t>
      </w:r>
      <w:r>
        <w:rPr>
          <w:rFonts w:hint="eastAsia" w:ascii="仿宋_GB2312" w:hAnsi="仿宋" w:eastAsia="仿宋_GB2312" w:cs="Times New Roman"/>
          <w:sz w:val="32"/>
          <w:szCs w:val="32"/>
        </w:rPr>
        <w:t>”</w:t>
      </w:r>
      <w:r>
        <w:rPr>
          <w:rFonts w:hint="eastAsia" w:ascii="仿宋_GB2312" w:hAnsi="仿宋" w:eastAsia="仿宋_GB2312" w:cs="Times New Roman"/>
          <w:sz w:val="32"/>
          <w:szCs w:val="32"/>
          <w:lang w:val="en-US" w:eastAsia="zh-CN"/>
        </w:rPr>
        <w:t>攻坚行动</w:t>
      </w:r>
      <w:r>
        <w:rPr>
          <w:rFonts w:hint="eastAsia" w:ascii="仿宋_GB2312" w:hAnsi="仿宋" w:eastAsia="仿宋_GB2312" w:cs="Times New Roman"/>
          <w:sz w:val="32"/>
          <w:szCs w:val="32"/>
        </w:rPr>
        <w:t>，根据</w:t>
      </w:r>
      <w:r>
        <w:rPr>
          <w:rFonts w:hint="eastAsia" w:ascii="仿宋_GB2312" w:hAnsi="仿宋" w:eastAsia="仿宋_GB2312" w:cs="Times New Roman"/>
          <w:sz w:val="32"/>
          <w:szCs w:val="32"/>
          <w:lang w:val="en-US" w:eastAsia="zh-CN"/>
        </w:rPr>
        <w:t>市安委会</w:t>
      </w:r>
      <w:r>
        <w:rPr>
          <w:rFonts w:hint="eastAsia" w:ascii="仿宋_GB2312" w:hAnsi="仿宋" w:eastAsia="仿宋_GB2312" w:cs="Times New Roman"/>
          <w:sz w:val="32"/>
          <w:szCs w:val="32"/>
        </w:rPr>
        <w:t>《关于印发&lt;滕州市2023年“安全生产月”活动实施方案&gt;的通知》（滕安发〔2023〕12号）和枣庄市交通运输局《关于印发&lt;全市交通运输2023年“安全生产月”活动实施方案&gt;的通知》（枣交字〔2023〕44号）精神，结合我市</w:t>
      </w:r>
      <w:r>
        <w:rPr>
          <w:rFonts w:hint="eastAsia" w:ascii="仿宋_GB2312" w:eastAsia="仿宋_GB2312"/>
          <w:color w:val="auto"/>
          <w:sz w:val="32"/>
          <w:szCs w:val="32"/>
          <w:highlight w:val="none"/>
          <w:lang w:eastAsia="zh-CN"/>
        </w:rPr>
        <w:t>交通运输工作实际</w:t>
      </w:r>
      <w:r>
        <w:rPr>
          <w:rFonts w:hint="eastAsia" w:ascii="仿宋_GB2312" w:hAnsi="仿宋" w:eastAsia="仿宋_GB2312" w:cs="Times New Roman"/>
          <w:sz w:val="32"/>
          <w:szCs w:val="32"/>
        </w:rPr>
        <w:t>，</w:t>
      </w:r>
      <w:r>
        <w:rPr>
          <w:rFonts w:hint="eastAsia" w:ascii="仿宋_GB2312" w:hAnsi="仿宋" w:eastAsia="仿宋_GB2312" w:cs="Times New Roman"/>
          <w:sz w:val="32"/>
          <w:szCs w:val="32"/>
          <w:lang w:val="en-US" w:eastAsia="zh-CN"/>
        </w:rPr>
        <w:t>特制订</w:t>
      </w:r>
      <w:r>
        <w:rPr>
          <w:rFonts w:hint="eastAsia" w:ascii="仿宋_GB2312" w:hAnsi="仿宋" w:eastAsia="仿宋_GB2312" w:cs="楷体_GB2312"/>
          <w:color w:val="auto"/>
          <w:spacing w:val="-4"/>
          <w:kern w:val="2"/>
          <w:sz w:val="32"/>
          <w:szCs w:val="32"/>
          <w:highlight w:val="none"/>
          <w:lang w:eastAsia="zh-CN"/>
        </w:rPr>
        <w:t>实施</w:t>
      </w:r>
      <w:r>
        <w:rPr>
          <w:rFonts w:hint="eastAsia" w:ascii="仿宋_GB2312" w:hAnsi="仿宋" w:eastAsia="仿宋_GB2312" w:cs="楷体_GB2312"/>
          <w:color w:val="auto"/>
          <w:spacing w:val="-4"/>
          <w:kern w:val="2"/>
          <w:sz w:val="32"/>
          <w:szCs w:val="32"/>
          <w:highlight w:val="none"/>
        </w:rPr>
        <w:t>方案如下</w:t>
      </w:r>
      <w:r>
        <w:rPr>
          <w:rFonts w:hint="eastAsia" w:ascii="仿宋_GB2312" w:hAnsi="仿宋" w:eastAsia="仿宋_GB2312" w:cs="Times New Roman"/>
          <w:sz w:val="32"/>
          <w:szCs w:val="32"/>
        </w:rPr>
        <w:t>。</w:t>
      </w:r>
    </w:p>
    <w:p w14:paraId="09EB1681">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firstLine="640" w:firstLineChars="200"/>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一、活动主题和时间安排</w:t>
      </w:r>
    </w:p>
    <w:p w14:paraId="7A1BE0F1">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firstLine="640" w:firstLineChars="20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活动主题：人人讲安全  个个会应急</w:t>
      </w:r>
    </w:p>
    <w:p w14:paraId="5A8EECFC">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firstLine="640" w:firstLineChars="20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活动时间：2023年6月1日至6月30日</w:t>
      </w:r>
    </w:p>
    <w:p w14:paraId="655C4F5F">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firstLine="640" w:firstLineChars="200"/>
        <w:rPr>
          <w:rFonts w:hint="eastAsia" w:ascii="仿宋_GB2312" w:hAnsi="仿宋" w:eastAsia="仿宋_GB2312" w:cs="Times New Roman"/>
          <w:kern w:val="2"/>
          <w:sz w:val="32"/>
          <w:szCs w:val="32"/>
          <w:lang w:val="en-US" w:eastAsia="zh-CN" w:bidi="ar-SA"/>
        </w:rPr>
      </w:pPr>
      <w:r>
        <w:rPr>
          <w:rFonts w:hint="eastAsia" w:ascii="黑体" w:hAnsi="黑体" w:eastAsia="黑体" w:cs="黑体"/>
          <w:kern w:val="2"/>
          <w:sz w:val="32"/>
          <w:szCs w:val="32"/>
          <w:lang w:val="en-US" w:eastAsia="zh-CN" w:bidi="ar-SA"/>
        </w:rPr>
        <w:t>二、总体要求</w:t>
      </w:r>
    </w:p>
    <w:p w14:paraId="62F38680">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firstLine="640" w:firstLineChars="200"/>
        <w:jc w:val="both"/>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以习近平新时代中国特色社会主义思想为指导，深入学习宣传党的二十大精神，学习习近平总书记关于安全生产重要论述、推动黄河流域生态保护和高质量发展的重要讲话精神和视察山东重要指示要求，贯彻落实安全生产法、安全生产十五条措施、安全生产“八抓20条”创新措施和市委、市政府</w:t>
      </w:r>
      <w:r>
        <w:rPr>
          <w:rFonts w:hint="eastAsia" w:ascii="仿宋_GB2312" w:hAnsi="仿宋" w:eastAsia="仿宋_GB2312" w:cs="Times New Roman"/>
          <w:sz w:val="32"/>
          <w:szCs w:val="32"/>
        </w:rPr>
        <w:t>“强工兴产、</w:t>
      </w:r>
      <w:r>
        <w:rPr>
          <w:rFonts w:hint="eastAsia" w:ascii="仿宋_GB2312" w:hAnsi="仿宋" w:eastAsia="仿宋_GB2312" w:cs="Times New Roman"/>
          <w:sz w:val="32"/>
          <w:szCs w:val="32"/>
          <w:lang w:val="en-US" w:eastAsia="zh-CN"/>
        </w:rPr>
        <w:t>项目突破</w:t>
      </w:r>
      <w:r>
        <w:rPr>
          <w:rFonts w:hint="eastAsia" w:ascii="仿宋_GB2312" w:hAnsi="仿宋" w:eastAsia="仿宋_GB2312" w:cs="Times New Roman"/>
          <w:sz w:val="32"/>
          <w:szCs w:val="32"/>
        </w:rPr>
        <w:t>”</w:t>
      </w:r>
      <w:r>
        <w:rPr>
          <w:rFonts w:hint="eastAsia" w:ascii="仿宋_GB2312" w:hAnsi="仿宋" w:eastAsia="仿宋_GB2312" w:cs="Times New Roman"/>
          <w:sz w:val="32"/>
          <w:szCs w:val="32"/>
          <w:lang w:val="en-US" w:eastAsia="zh-CN"/>
        </w:rPr>
        <w:t>攻坚行动</w:t>
      </w:r>
      <w:r>
        <w:rPr>
          <w:rFonts w:hint="eastAsia" w:ascii="仿宋_GB2312" w:hAnsi="仿宋" w:eastAsia="仿宋_GB2312" w:cs="Times New Roman"/>
          <w:kern w:val="2"/>
          <w:sz w:val="32"/>
          <w:szCs w:val="32"/>
          <w:lang w:val="en-US" w:eastAsia="zh-CN" w:bidi="ar-SA"/>
        </w:rPr>
        <w:t>，学习宣传贯彻《滕州市重大事故隐患专项排查整治2023行动工作方案》，坚持人民至上、生命至上，坚持统筹发展和安全，坚持安全第一、预防为主，持续树牢安全红线意识、安全发展理念，强化安全生产责任落实，切实提高风险隐患排查整改质量，提升发现问题、解决问题的强烈意愿和能力水平，增强全社会安全意识和避险能力，坚决防范遏制各类生产安全事故发生。</w:t>
      </w:r>
    </w:p>
    <w:p w14:paraId="212AF32F">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firstLine="640" w:firstLineChars="200"/>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三、活动主要内容及分工</w:t>
      </w:r>
    </w:p>
    <w:p w14:paraId="324192C1">
      <w:pPr>
        <w:keepNext w:val="0"/>
        <w:keepLines w:val="0"/>
        <w:pageBreakBefore w:val="0"/>
        <w:kinsoku/>
        <w:wordWrap/>
        <w:topLinePunct w:val="0"/>
        <w:autoSpaceDE/>
        <w:autoSpaceDN/>
        <w:bidi w:val="0"/>
        <w:adjustRightInd/>
        <w:snapToGrid/>
        <w:spacing w:line="560" w:lineRule="exact"/>
        <w:ind w:left="0" w:leftChars="0" w:firstLine="640" w:firstLineChars="200"/>
        <w:textAlignment w:val="baseline"/>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（一）深入学习习近平总书记关于安全生产重要论述</w:t>
      </w:r>
    </w:p>
    <w:p w14:paraId="00146E83">
      <w:pPr>
        <w:keepNext w:val="0"/>
        <w:keepLines w:val="0"/>
        <w:pageBreakBefore w:val="0"/>
        <w:kinsoku/>
        <w:wordWrap/>
        <w:topLinePunct w:val="0"/>
        <w:autoSpaceDE/>
        <w:autoSpaceDN/>
        <w:bidi w:val="0"/>
        <w:adjustRightInd/>
        <w:snapToGrid/>
        <w:spacing w:line="560" w:lineRule="exact"/>
        <w:ind w:left="0" w:leftChars="0" w:firstLine="640" w:firstLineChars="200"/>
        <w:textAlignment w:val="baseline"/>
        <w:rPr>
          <w:rFonts w:hint="eastAsia" w:ascii="仿宋_GB2312" w:hAnsi="仿宋" w:eastAsia="仿宋_GB2312" w:cs="Times New Roman"/>
          <w:sz w:val="32"/>
          <w:szCs w:val="32"/>
        </w:rPr>
      </w:pPr>
      <w:r>
        <w:rPr>
          <w:rFonts w:hint="eastAsia" w:ascii="仿宋_GB2312" w:hAnsi="仿宋" w:eastAsia="仿宋_GB2312" w:cs="Times New Roman"/>
          <w:kern w:val="2"/>
          <w:sz w:val="32"/>
          <w:szCs w:val="32"/>
          <w:lang w:val="en-US" w:eastAsia="zh-CN" w:bidi="ar-SA"/>
        </w:rPr>
        <w:t>1.开展习近平总书记关于安全生产重要论述专题学习。紧紧围绕宣传贯彻习近平总书记关于安全生产特别是安全红线重要论述，开展形式多样的宣贯活动，通过安全生产“晨会”“公开课”“大家谈”“班组会”等形式，交流学习体会，开展警示教育。</w:t>
      </w:r>
      <w:r>
        <w:rPr>
          <w:rFonts w:hint="eastAsia" w:ascii="仿宋_GB2312" w:hAnsi="仿宋" w:eastAsia="仿宋_GB2312" w:cs="Times New Roman"/>
          <w:sz w:val="32"/>
          <w:szCs w:val="32"/>
        </w:rPr>
        <w:t>通过形式多样的活动，牢固树立安全红线意识，增强从根本上消除事故隐患的思想自觉和行动自觉，切实把学习成果转化为推动安全发展的工作实效。</w:t>
      </w:r>
    </w:p>
    <w:p w14:paraId="35434F0E">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组织安全生产法律法规政策学习。认真组织学习《安全生产法》《山东省安全生产条例》《山东省生产经营单位安全生产主体责任规定》《山东省生产安全事故隐患排查治理办法》《山东省安全生产行政责任制规定》等安全生产法律法规和安全生产“八抓20条”创新措施，认真落实国务院安委会安全生产十五条措施，推动安全生产责任落实。采取专题讲座、座谈交流等方式开展安全生产法律法规学习培训和宣传教育，进一步明晰党政机关干部承担的安全生产职责，增强安全生产履职尽责的法制意识。组织开展以安全生产法律法规为主要内容的“安全生产月”知识竞赛和执法人员岗位练兵活动，提升知法、守法、用法水平。</w:t>
      </w:r>
    </w:p>
    <w:p w14:paraId="30FEB632">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3.加强安全生产创新措施主题宣传。围绕省、市和上级交通主管部门提出的安全生产“八抓20条”创新措施进行重点宣传，突出抓教育培训、抓制度完善、抓苗头隐患、抓日常监督、抓严惩重罚、抓应急处置、抓本质安全、抓社会共治等重点工作，推动安全生产各项创新措施落实落地。</w:t>
      </w:r>
    </w:p>
    <w:p w14:paraId="63FC70FD">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楷体_GB2312" w:hAnsi="楷体_GB2312" w:eastAsia="楷体_GB2312" w:cs="楷体_GB2312"/>
          <w:kern w:val="2"/>
          <w:sz w:val="32"/>
          <w:szCs w:val="32"/>
          <w:lang w:val="en-US" w:eastAsia="zh-CN" w:bidi="ar-SA"/>
        </w:rPr>
        <w:t>（二）着眼“人人讲安全、个个会应急”，深入推进安全宣传“五进”</w:t>
      </w:r>
    </w:p>
    <w:p w14:paraId="3968EFF6">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4</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 xml:space="preserve">深入开展双月教育警示活动。按照上级要求，组织开展好双月教育警示活动，充分利用《生命重于泰山》《生命至上 警钟长鸣》《红线》和《安全生产典型案例警示教育专题片》等，通过现场宣讲会、案例大讨论、观看警示教育片等形式，深入剖析事故原因，深刻吸取事故教训，切实引以为戒，强化警示教育作用，推动企业落实主体责任，防范同类事故发生。 </w:t>
      </w:r>
    </w:p>
    <w:p w14:paraId="716C4228">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5.积极组织开展应急科普宣传教育活动。积极组织开展交通运输行业应急科普宣传活动，扩大应急科普宣传教育覆盖面，增强社会公众安全防范意识和能力。组织开展安全培训</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专家授课、岗位练兵、特种作业人员安全技术比武活动，促进安全培训质量和安全技能不断提升。</w:t>
      </w:r>
    </w:p>
    <w:p w14:paraId="00B9E216">
      <w:pPr>
        <w:keepNext w:val="0"/>
        <w:keepLines w:val="0"/>
        <w:pageBreakBefore w:val="0"/>
        <w:kinsoku/>
        <w:wordWrap/>
        <w:topLinePunct w:val="0"/>
        <w:autoSpaceDE/>
        <w:autoSpaceDN/>
        <w:bidi w:val="0"/>
        <w:adjustRightInd/>
        <w:snapToGrid/>
        <w:spacing w:line="560" w:lineRule="exact"/>
        <w:ind w:left="0" w:leftChars="0" w:firstLine="640" w:firstLineChars="200"/>
        <w:textAlignment w:val="baseline"/>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（三）聚焦专项排查整治行动，开展企业主要负责人“五带头、五落实”活动</w:t>
      </w:r>
    </w:p>
    <w:p w14:paraId="0119C19B">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6</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开展重大事故隐患专项排查整治2023行动专题宣传。各单位要加强《滕州市交通运输系统重大事故隐患专项排查整治2023行动工作方案》学习宣传贯彻，广泛深入解读隐患排查整治共性检查内容和专项检查内容。要将行业领域重大事故隐患判定标准、重大安全风险隐患清单、重点执法检查事项及重要法律法规标准汇编成册，逐一落实重大隐患的整改，确保重大事故隐患专项排查整治2023行动工作扎实推进。</w:t>
      </w:r>
      <w:r>
        <w:rPr>
          <w:rFonts w:hint="eastAsia" w:ascii="仿宋_GB2312" w:hAnsi="仿宋" w:eastAsia="仿宋_GB2312" w:cs="Times New Roman"/>
          <w:sz w:val="32"/>
          <w:szCs w:val="32"/>
          <w:lang w:val="en-US" w:eastAsia="zh-CN"/>
        </w:rPr>
        <w:t>行业</w:t>
      </w:r>
      <w:r>
        <w:rPr>
          <w:rFonts w:hint="eastAsia" w:ascii="仿宋_GB2312" w:hAnsi="仿宋" w:eastAsia="仿宋_GB2312" w:cs="Times New Roman"/>
          <w:sz w:val="32"/>
          <w:szCs w:val="32"/>
        </w:rPr>
        <w:t>企业主要负责人要组织对《山东省交通运输企业安全生产主体责任落实情况检查指南》和交通运输重大事故隐患专项排查整治清单进行全员专题培训，做好日常安全教育培训情况自查与问题整改。坚持正面引导和警示曝光相结合，及时宣传典型经验做法，针对交通运输安全生产典型违法案例、“一案双罚”执法案例、安全生产行刑衔接典型案例以及检查</w:t>
      </w:r>
      <w:bookmarkStart w:id="0" w:name="_GoBack"/>
      <w:bookmarkEnd w:id="0"/>
      <w:r>
        <w:rPr>
          <w:rFonts w:hint="eastAsia" w:ascii="仿宋_GB2312" w:hAnsi="仿宋" w:eastAsia="仿宋_GB2312" w:cs="Times New Roman"/>
          <w:sz w:val="32"/>
          <w:szCs w:val="32"/>
        </w:rPr>
        <w:t>中发现的重大事故隐患和突出问题进行集中曝光，形成有力震慑。进一步完善安全生产举报奖励制度，落实举报“公告牌”“内部吹哨人”制度，组织开展“我是安全吹哨人”“查找身边的隐患”等活动，鼓励群众参与，形成人人关注、人人参与的浓厚氛围。</w:t>
      </w:r>
    </w:p>
    <w:p w14:paraId="7366044E">
      <w:pPr>
        <w:keepNext w:val="0"/>
        <w:keepLines w:val="0"/>
        <w:pageBreakBefore w:val="0"/>
        <w:kinsoku/>
        <w:wordWrap/>
        <w:topLinePunct w:val="0"/>
        <w:autoSpaceDE/>
        <w:autoSpaceDN/>
        <w:bidi w:val="0"/>
        <w:adjustRightInd/>
        <w:snapToGrid/>
        <w:spacing w:line="560" w:lineRule="exact"/>
        <w:ind w:left="0" w:leftChars="0" w:firstLine="640" w:firstLineChars="200"/>
        <w:textAlignment w:val="baseline"/>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（四）聚焦重点领域，开展企业主要负责人“五带头”宣传活动</w:t>
      </w:r>
    </w:p>
    <w:p w14:paraId="6F8A2A6D">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7</w:t>
      </w:r>
      <w:r>
        <w:rPr>
          <w:rFonts w:hint="eastAsia" w:ascii="仿宋_GB2312" w:hAnsi="仿宋" w:eastAsia="仿宋_GB2312" w:cs="Times New Roman"/>
          <w:sz w:val="32"/>
          <w:szCs w:val="32"/>
          <w:lang w:val="en-US" w:eastAsia="zh-CN"/>
        </w:rPr>
        <w:t>.推动“企业第一责任人”守法履责。</w:t>
      </w:r>
      <w:r>
        <w:rPr>
          <w:rFonts w:hint="eastAsia" w:ascii="仿宋_GB2312" w:hAnsi="仿宋" w:eastAsia="仿宋_GB2312" w:cs="Times New Roman"/>
          <w:sz w:val="32"/>
          <w:szCs w:val="32"/>
        </w:rPr>
        <w:t xml:space="preserve">各单位要督促企业落实安全生产“第一责任人”法定职责，开展企业主要负责人“安全承诺践诺”活动。围绕全市交通运输重大事故隐患专项排查整治2023行动要求，积极组织宣传报道企业主要负责人“五带头”（带头研究组织本企业重大事故隐患排查整治、带头落实全员安全生产岗位责任发挥管理团队和专家作用、带头对动火等危险作业开展排查整治、带头对外包外租等生产经营活动开展排查整治、带头开展事故应急救援演练活动）进展情况，及时宣传报道典型经验做法及企业主要负责人严格履行法定职责的先进事例。开展“动火作业风险我知道”宣传活动，督促交通企业加强电焊工等危险作业人员资格审查，并加强日常教育培训，发放岗位风险告知卡和安全操作卡，进一步强化特种作业人员岗位责任落实。开展“外包外租大排查”宣传活动，加大外包外租典型违法案例专题警示教育，对企业外包外租项目开展一次大排查，坚决纠正或取缔违法违规外包外租项目。开展有限空间、高处作业、动火、爆破、临时用电等危险作业排查整治，加强交通工程建设领域深基坑开挖等安全专项检查，确保按章操作，安全施工。     </w:t>
      </w:r>
    </w:p>
    <w:p w14:paraId="2F1F883B">
      <w:pPr>
        <w:keepNext w:val="0"/>
        <w:keepLines w:val="0"/>
        <w:pageBreakBefore w:val="0"/>
        <w:kinsoku/>
        <w:wordWrap/>
        <w:topLinePunct w:val="0"/>
        <w:autoSpaceDE/>
        <w:autoSpaceDN/>
        <w:bidi w:val="0"/>
        <w:adjustRightInd/>
        <w:snapToGrid/>
        <w:spacing w:line="560" w:lineRule="exact"/>
        <w:ind w:left="0" w:leftChars="0" w:firstLine="640" w:firstLineChars="200"/>
        <w:textAlignment w:val="baseline"/>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（五）深入推进应急宣传教育和应急演练活动</w:t>
      </w:r>
    </w:p>
    <w:p w14:paraId="57081F3C">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8</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组织开展应急科普宣传教育活动</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各单位要</w:t>
      </w:r>
      <w:r>
        <w:rPr>
          <w:rFonts w:hint="eastAsia" w:ascii="仿宋_GB2312" w:hAnsi="仿宋" w:eastAsia="仿宋_GB2312" w:cs="Times New Roman"/>
          <w:sz w:val="32"/>
          <w:szCs w:val="32"/>
          <w:lang w:val="en-US" w:eastAsia="zh-CN"/>
        </w:rPr>
        <w:t>积极动员</w:t>
      </w:r>
      <w:r>
        <w:rPr>
          <w:rFonts w:hint="eastAsia" w:ascii="仿宋_GB2312" w:hAnsi="仿宋" w:eastAsia="仿宋_GB2312" w:cs="Times New Roman"/>
          <w:sz w:val="32"/>
          <w:szCs w:val="32"/>
        </w:rPr>
        <w:t>参加“十大逃生演练科普视频”展播、“人人讲安全 个个会应急”网络知识竞赛、线上“逃生演练训练营”“自救福利大派送”等全国性活动以及省、市级应急科普活动。</w:t>
      </w:r>
      <w:r>
        <w:rPr>
          <w:rFonts w:hint="eastAsia" w:ascii="仿宋_GB2312" w:hAnsi="仿宋" w:eastAsia="仿宋_GB2312" w:cs="Times New Roman"/>
          <w:sz w:val="32"/>
          <w:szCs w:val="32"/>
          <w:lang w:val="en-US" w:eastAsia="zh-CN"/>
        </w:rPr>
        <w:t>深入</w:t>
      </w:r>
      <w:r>
        <w:rPr>
          <w:rFonts w:hint="eastAsia" w:ascii="仿宋_GB2312" w:hAnsi="仿宋" w:eastAsia="仿宋_GB2312" w:cs="Times New Roman"/>
          <w:sz w:val="32"/>
          <w:szCs w:val="32"/>
        </w:rPr>
        <w:t>宣传，广泛动员交通运输系统广大干部职工积极参与山东省第二届应急管理普法知识竞赛活动，加大交通运输行业普法工作力度，培育全行业应急法治意识，推动应急管理法治建设。</w:t>
      </w:r>
      <w:r>
        <w:rPr>
          <w:rFonts w:hint="eastAsia" w:ascii="仿宋_GB2312" w:hAnsi="楷体_GB2312" w:eastAsia="仿宋_GB2312" w:cs="楷体_GB2312"/>
          <w:sz w:val="32"/>
          <w:szCs w:val="32"/>
        </w:rPr>
        <w:t>各</w:t>
      </w:r>
      <w:r>
        <w:rPr>
          <w:rFonts w:hint="eastAsia" w:ascii="仿宋_GB2312" w:hAnsi="楷体_GB2312" w:eastAsia="仿宋_GB2312" w:cs="楷体_GB2312"/>
          <w:sz w:val="32"/>
          <w:szCs w:val="32"/>
          <w:lang w:eastAsia="zh-CN"/>
        </w:rPr>
        <w:t>单位</w:t>
      </w:r>
      <w:r>
        <w:rPr>
          <w:rFonts w:hint="eastAsia" w:ascii="仿宋_GB2312" w:hAnsi="楷体_GB2312" w:eastAsia="仿宋_GB2312" w:cs="楷体_GB2312"/>
          <w:sz w:val="32"/>
          <w:szCs w:val="32"/>
        </w:rPr>
        <w:t>要</w:t>
      </w:r>
      <w:r>
        <w:rPr>
          <w:rFonts w:hint="eastAsia" w:ascii="仿宋_GB2312" w:hAnsi="仿宋" w:eastAsia="仿宋_GB2312" w:cs="Times New Roman"/>
          <w:sz w:val="32"/>
          <w:szCs w:val="32"/>
        </w:rPr>
        <w:t>针对交通运输领域事故救援和汛期安全，组织开展多层</w:t>
      </w:r>
      <w:r>
        <w:rPr>
          <w:rFonts w:hint="eastAsia" w:ascii="仿宋_GB2312" w:hAnsi="仿宋" w:eastAsia="仿宋_GB2312" w:cs="Times New Roman"/>
          <w:sz w:val="32"/>
          <w:szCs w:val="32"/>
          <w:lang w:val="en-US" w:eastAsia="zh-CN"/>
        </w:rPr>
        <w:t>次、多形式</w:t>
      </w:r>
      <w:r>
        <w:rPr>
          <w:rFonts w:hint="eastAsia" w:ascii="仿宋_GB2312" w:hAnsi="仿宋" w:eastAsia="仿宋_GB2312" w:cs="Times New Roman"/>
          <w:sz w:val="32"/>
          <w:szCs w:val="32"/>
        </w:rPr>
        <w:t>的综合性实战化应急演练；交通企业要根据本行业领域事故特点，组织1次事故应急演练，开展1次从业人员自救互救技能培训，使从业人员时刻牢记安全生产岗位责任，熟知安全逃生出口（或避灾路线），提高全员安全意识和应急处置能力。</w:t>
      </w:r>
    </w:p>
    <w:p w14:paraId="47C3001F">
      <w:pPr>
        <w:keepNext w:val="0"/>
        <w:keepLines w:val="0"/>
        <w:pageBreakBefore w:val="0"/>
        <w:kinsoku/>
        <w:wordWrap/>
        <w:topLinePunct w:val="0"/>
        <w:autoSpaceDE/>
        <w:autoSpaceDN/>
        <w:bidi w:val="0"/>
        <w:adjustRightInd/>
        <w:snapToGrid/>
        <w:spacing w:line="560" w:lineRule="exact"/>
        <w:ind w:left="0" w:leftChars="0" w:firstLine="640" w:firstLineChars="200"/>
        <w:textAlignment w:val="baseline"/>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（六）广泛开展社会化宣传，培树平安和谐的交通运输安全文化</w:t>
      </w:r>
    </w:p>
    <w:p w14:paraId="5ACC35BD">
      <w:pPr>
        <w:keepNext w:val="0"/>
        <w:keepLines w:val="0"/>
        <w:pageBreakBefore w:val="0"/>
        <w:kinsoku/>
        <w:wordWrap/>
        <w:topLinePunct w:val="0"/>
        <w:autoSpaceDE/>
        <w:autoSpaceDN/>
        <w:bidi w:val="0"/>
        <w:adjustRightInd/>
        <w:snapToGrid/>
        <w:spacing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9</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深入推进安全宣讲“五进”</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指导行业企业制作并宣传一批通俗易懂、接地气的“人人会应急”小视频或图片，培育“全员崇尚安全、人人关爱生命”的精神文化，鼓励企业开展“一把手讲安全课”“人人都是安全员”“我的岗位安全我负责”等活动，加强企业安全生产标准化建设，努力构建“人人为安全负责”的制度文化，将安全思想深耕于职工内心深处，牢固树立安全红线意识。</w:t>
      </w:r>
    </w:p>
    <w:p w14:paraId="36D9CE63">
      <w:pPr>
        <w:keepNext w:val="0"/>
        <w:keepLines w:val="0"/>
        <w:pageBreakBefore w:val="0"/>
        <w:kinsoku/>
        <w:wordWrap/>
        <w:topLinePunct w:val="0"/>
        <w:autoSpaceDE/>
        <w:autoSpaceDN/>
        <w:bidi w:val="0"/>
        <w:adjustRightInd/>
        <w:snapToGrid/>
        <w:spacing w:line="560" w:lineRule="exact"/>
        <w:ind w:left="0" w:leftChars="0" w:firstLine="640" w:firstLineChars="200"/>
        <w:textAlignment w:val="baseline"/>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（七）持续推进“平安交通”系列工作</w:t>
      </w:r>
    </w:p>
    <w:p w14:paraId="7EB0B1D5">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10</w:t>
      </w:r>
      <w:r>
        <w:rPr>
          <w:rFonts w:hint="eastAsia" w:ascii="仿宋_GB2312" w:hAnsi="仿宋" w:eastAsia="仿宋_GB2312" w:cs="Times New Roman"/>
          <w:sz w:val="32"/>
          <w:szCs w:val="32"/>
          <w:lang w:val="en-US" w:eastAsia="zh-CN"/>
        </w:rPr>
        <w:t>.建设“平安交通”。</w:t>
      </w:r>
      <w:r>
        <w:rPr>
          <w:rFonts w:hint="eastAsia" w:ascii="仿宋_GB2312" w:hAnsi="仿宋" w:eastAsia="仿宋_GB2312" w:cs="Times New Roman"/>
          <w:sz w:val="32"/>
          <w:szCs w:val="32"/>
        </w:rPr>
        <w:t>深入推进治超联合执法常态化制度化，加强大件运输全链条监管</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深化道路运输客运打非治违，持续强化危险货物道路运输全链条安全协同监管。开展交通工程建设安全应急标准宣贯和在建工程建设安全治理能力提升行动，深入推进“平安工地”建设全覆盖。</w:t>
      </w:r>
    </w:p>
    <w:p w14:paraId="772CFCA7">
      <w:pPr>
        <w:keepNext w:val="0"/>
        <w:keepLines w:val="0"/>
        <w:pageBreakBefore w:val="0"/>
        <w:kinsoku/>
        <w:wordWrap/>
        <w:topLinePunct w:val="0"/>
        <w:autoSpaceDE/>
        <w:autoSpaceDN/>
        <w:bidi w:val="0"/>
        <w:adjustRightInd/>
        <w:snapToGrid/>
        <w:spacing w:line="560" w:lineRule="exact"/>
        <w:ind w:left="0" w:leftChars="0" w:firstLine="640" w:firstLineChars="200"/>
        <w:textAlignment w:val="baseline"/>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（八）组织开展“安全生产月”系列宣传活动</w:t>
      </w:r>
    </w:p>
    <w:p w14:paraId="76075705">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11</w:t>
      </w:r>
      <w:r>
        <w:rPr>
          <w:rFonts w:hint="eastAsia" w:ascii="仿宋_GB2312" w:hAnsi="仿宋" w:eastAsia="仿宋_GB2312" w:cs="Times New Roman"/>
          <w:sz w:val="32"/>
          <w:szCs w:val="32"/>
          <w:lang w:val="en-US" w:eastAsia="zh-CN"/>
        </w:rPr>
        <w:t>.组织参加</w:t>
      </w:r>
      <w:r>
        <w:rPr>
          <w:rFonts w:hint="eastAsia" w:ascii="仿宋_GB2312" w:hAnsi="仿宋" w:eastAsia="仿宋_GB2312" w:cs="Times New Roman"/>
          <w:sz w:val="32"/>
          <w:szCs w:val="32"/>
        </w:rPr>
        <w:t>全市“安全生产月”活动启动仪式暨安全宣传咨询活动</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集中开展安全生产法律法规、安全常识、事故预防、应急处置、逃生自救等应急管理科普知识宣传咨询</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充分发挥微信、户外电子显示屏等各种媒体平台作用，在醒目位置悬挂横幅、标语，持续滚动播放安全提示，营造浓厚安全氛围。</w:t>
      </w:r>
    </w:p>
    <w:p w14:paraId="6557EE01">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12</w:t>
      </w:r>
      <w:r>
        <w:rPr>
          <w:rFonts w:hint="eastAsia" w:ascii="仿宋_GB2312" w:hAnsi="仿宋" w:eastAsia="仿宋_GB2312" w:cs="Times New Roman"/>
          <w:sz w:val="32"/>
          <w:szCs w:val="32"/>
          <w:lang w:val="en-US" w:eastAsia="zh-CN"/>
        </w:rPr>
        <w:t>.</w:t>
      </w:r>
      <w:r>
        <w:rPr>
          <w:rFonts w:hint="eastAsia" w:ascii="仿宋_GB2312" w:hAnsi="仿宋" w:eastAsia="仿宋_GB2312" w:cs="Times New Roman"/>
          <w:sz w:val="32"/>
          <w:szCs w:val="32"/>
        </w:rPr>
        <w:t>开展咨询日集中宣传活动。采取设置咨询展台、举办展览展示、组织安全监管人员宣传安全生产方针政策、法律法规、重大事故隐患专项排查整治行动，以及安全生产岗位责任、安全知识和避险逃生技能等科普知识，解答公众疑惑，回复群众咨询。开设“安全生产月”活动专题专栏，增加宣传版面、时段和频次，特别是在“安全生产月”启动、“安全宣传咨询日”活动等重要时间节点，加大宣传力度、集中推送，在全社会营造“关爱生命、关注安全”的浓厚氛围。</w:t>
      </w:r>
      <w:r>
        <w:rPr>
          <w:rFonts w:hint="eastAsia" w:ascii="仿宋_GB2312" w:hAnsi="仿宋" w:eastAsia="仿宋_GB2312" w:cs="Times New Roman"/>
          <w:sz w:val="32"/>
          <w:szCs w:val="32"/>
          <w:lang w:val="en-US" w:eastAsia="zh-CN"/>
        </w:rPr>
        <w:t>活动</w:t>
      </w:r>
      <w:r>
        <w:rPr>
          <w:rFonts w:hint="eastAsia" w:ascii="仿宋_GB2312" w:hAnsi="仿宋" w:eastAsia="仿宋_GB2312" w:cs="Times New Roman"/>
          <w:sz w:val="32"/>
          <w:szCs w:val="32"/>
        </w:rPr>
        <w:t>期间，</w:t>
      </w:r>
      <w:r>
        <w:rPr>
          <w:rFonts w:hint="eastAsia" w:ascii="仿宋_GB2312" w:hAnsi="仿宋" w:eastAsia="仿宋_GB2312" w:cs="Times New Roman"/>
          <w:sz w:val="32"/>
          <w:szCs w:val="32"/>
          <w:lang w:val="en-US" w:eastAsia="zh-CN"/>
        </w:rPr>
        <w:t>市</w:t>
      </w:r>
      <w:r>
        <w:rPr>
          <w:rFonts w:hint="eastAsia" w:ascii="仿宋_GB2312" w:hAnsi="仿宋" w:eastAsia="仿宋_GB2312" w:cs="Times New Roman"/>
          <w:sz w:val="32"/>
          <w:szCs w:val="32"/>
        </w:rPr>
        <w:t>交发集团、交运公司要在滕州汽车站、滕州汽车西站集中组织开展“6·16安全宣传咨询日”活动</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以多种形式介绍安全生产工作举措</w:t>
      </w:r>
      <w:r>
        <w:rPr>
          <w:rFonts w:hint="eastAsia" w:ascii="仿宋_GB2312" w:hAnsi="仿宋" w:eastAsia="仿宋_GB2312" w:cs="Times New Roman"/>
          <w:sz w:val="32"/>
          <w:szCs w:val="32"/>
          <w:lang w:val="en-US" w:eastAsia="zh-CN"/>
        </w:rPr>
        <w:t>和</w:t>
      </w:r>
      <w:r>
        <w:rPr>
          <w:rFonts w:hint="eastAsia" w:ascii="仿宋_GB2312" w:hAnsi="仿宋" w:eastAsia="仿宋_GB2312" w:cs="Times New Roman"/>
          <w:sz w:val="32"/>
          <w:szCs w:val="32"/>
        </w:rPr>
        <w:t>成效。</w:t>
      </w:r>
    </w:p>
    <w:p w14:paraId="26CBB9A0">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黑体" w:hAnsi="黑体" w:eastAsia="黑体" w:cs="黑体"/>
          <w:kern w:val="2"/>
          <w:sz w:val="32"/>
          <w:szCs w:val="32"/>
          <w:lang w:val="en-US" w:eastAsia="zh-CN" w:bidi="ar-SA"/>
        </w:rPr>
        <w:t>四、工作措施</w:t>
      </w:r>
    </w:p>
    <w:p w14:paraId="53B398B9">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楷体_GB2312" w:hAnsi="楷体_GB2312" w:eastAsia="楷体_GB2312" w:cs="楷体_GB2312"/>
          <w:kern w:val="2"/>
          <w:sz w:val="32"/>
          <w:szCs w:val="32"/>
          <w:lang w:val="en-US" w:eastAsia="zh-CN" w:bidi="ar-SA"/>
        </w:rPr>
        <w:t>（一）加强组织领导。</w:t>
      </w:r>
      <w:r>
        <w:rPr>
          <w:rFonts w:hint="eastAsia" w:ascii="仿宋_GB2312" w:hAnsi="仿宋" w:eastAsia="仿宋_GB2312" w:cs="Times New Roman"/>
          <w:sz w:val="32"/>
          <w:szCs w:val="32"/>
        </w:rPr>
        <w:t>各单位要进一步提高对安全生产宣传教育工作的认识，建立全员参与的工作机制，主要领导亲自抓，分管领导具体抓，认真研究制定实施方案，明确责任单位、责任人和重点任务分工，统筹安排各项活动开展，确保层层有人抓、事事有人管。要做好人力、物力和相关经费等保障，确保“安全生产月”活动扎实有序开展。</w:t>
      </w:r>
    </w:p>
    <w:p w14:paraId="2A58FB08">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楷体_GB2312" w:hAnsi="楷体_GB2312" w:eastAsia="楷体_GB2312" w:cs="楷体_GB2312"/>
          <w:kern w:val="2"/>
          <w:sz w:val="32"/>
          <w:szCs w:val="32"/>
          <w:lang w:val="en-US" w:eastAsia="zh-CN" w:bidi="ar-SA"/>
        </w:rPr>
        <w:t>（二）营造浓厚氛围。</w:t>
      </w:r>
      <w:r>
        <w:rPr>
          <w:rFonts w:hint="eastAsia" w:ascii="仿宋_GB2312" w:hAnsi="仿宋" w:eastAsia="仿宋_GB2312" w:cs="Times New Roman"/>
          <w:sz w:val="32"/>
          <w:szCs w:val="32"/>
        </w:rPr>
        <w:t>各单位要形成上下一体、协同联动的宣传合力，充分发挥交通运输新媒体平台作用，利用巡游出租车</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公交车</w:t>
      </w:r>
      <w:r>
        <w:rPr>
          <w:rFonts w:hint="eastAsia" w:ascii="仿宋_GB2312" w:hAnsi="仿宋" w:eastAsia="仿宋_GB2312" w:cs="Times New Roman"/>
          <w:sz w:val="32"/>
          <w:szCs w:val="32"/>
        </w:rPr>
        <w:t>LED显示屏打造矩阵式、全媒体、立体化安全生产宣传格局。要注重总结活动经验做法，注重发现培育先进典型，积极向上级媒体投送“安全生产月”活动新闻稿件，正面宣传交通运输系统“安全生产月”活动和先进典型，巩固深化“安全生产月”活动成果。</w:t>
      </w:r>
    </w:p>
    <w:p w14:paraId="1FAA1552">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楷体_GB2312" w:hAnsi="楷体_GB2312" w:eastAsia="楷体_GB2312" w:cs="楷体_GB2312"/>
          <w:kern w:val="2"/>
          <w:sz w:val="32"/>
          <w:szCs w:val="32"/>
          <w:lang w:val="en-US" w:eastAsia="zh-CN" w:bidi="ar-SA"/>
        </w:rPr>
        <w:t>（三）做好结合文章。</w:t>
      </w:r>
      <w:r>
        <w:rPr>
          <w:rFonts w:hint="eastAsia" w:ascii="仿宋_GB2312" w:hAnsi="仿宋" w:eastAsia="仿宋_GB2312" w:cs="Times New Roman"/>
          <w:sz w:val="32"/>
          <w:szCs w:val="32"/>
        </w:rPr>
        <w:t>各单位要把“安全生产月”活动与正在进行的重大事故隐患专项排查整治2023行动</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夏季安全集中整治行动</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2023年防汛工作等重点工作相结合，与推动落实安全生产制度措施相结合，突出重点行业领域，着力解决重难点问题，防止脱离实际、简单化部署，防止搞形式主义、走过场，切实因地制宜开展好各项活动，推动防范化解重大风险，促进安全生产水平提升，达到以活动促工作、以活动保安全的目的。</w:t>
      </w:r>
    </w:p>
    <w:p w14:paraId="5F268338">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楷体_GB2312" w:hAnsi="楷体_GB2312" w:eastAsia="楷体_GB2312" w:cs="楷体_GB2312"/>
          <w:kern w:val="2"/>
          <w:sz w:val="32"/>
          <w:szCs w:val="32"/>
          <w:lang w:val="en-US" w:eastAsia="zh-CN" w:bidi="ar-SA"/>
        </w:rPr>
        <w:t>（四）严格信息报送。</w:t>
      </w:r>
      <w:r>
        <w:rPr>
          <w:rFonts w:hint="eastAsia" w:ascii="仿宋_GB2312" w:hAnsi="仿宋" w:eastAsia="仿宋_GB2312" w:cs="Times New Roman"/>
          <w:sz w:val="32"/>
          <w:szCs w:val="32"/>
          <w:lang w:val="en-US" w:eastAsia="zh-CN"/>
        </w:rPr>
        <w:t>请</w:t>
      </w:r>
      <w:r>
        <w:rPr>
          <w:rFonts w:hint="eastAsia" w:ascii="仿宋_GB2312" w:hAnsi="仿宋" w:eastAsia="仿宋_GB2312" w:cs="Times New Roman"/>
          <w:sz w:val="32"/>
          <w:szCs w:val="32"/>
        </w:rPr>
        <w:t>各单位于6月3日前</w:t>
      </w:r>
      <w:r>
        <w:rPr>
          <w:rFonts w:hint="eastAsia" w:ascii="仿宋_GB2312" w:hAnsi="仿宋" w:eastAsia="仿宋_GB2312" w:cs="Times New Roman"/>
          <w:sz w:val="32"/>
          <w:szCs w:val="32"/>
          <w:lang w:val="en-US" w:eastAsia="zh-CN"/>
        </w:rPr>
        <w:t>报送</w:t>
      </w:r>
      <w:r>
        <w:rPr>
          <w:rFonts w:hint="eastAsia" w:ascii="仿宋_GB2312" w:hAnsi="仿宋" w:eastAsia="仿宋_GB2312" w:cs="Times New Roman"/>
          <w:sz w:val="32"/>
          <w:szCs w:val="32"/>
        </w:rPr>
        <w:t>“安全生产月”活动方案、2023年“安全生产月”活动联络员报名表（附件2）</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每周五前报送本周工作开展情况</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6月28日前将活动工作总结和《“安全生产月”活动进展情况统计表》（附件3）报送局安全生产监督管理科。“安全生产月”活动期间开展的重要活动信息可随时报送。</w:t>
      </w:r>
    </w:p>
    <w:p w14:paraId="4DB8C85A">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rPr>
        <w:t xml:space="preserve">联系电话：5571749 </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电子邮箱：jtjaqb1749@163.com</w:t>
      </w:r>
      <w:r>
        <w:rPr>
          <w:rFonts w:hint="eastAsia" w:ascii="仿宋_GB2312" w:hAnsi="仿宋" w:eastAsia="仿宋_GB2312" w:cs="Times New Roman"/>
          <w:sz w:val="32"/>
          <w:szCs w:val="32"/>
          <w:lang w:eastAsia="zh-CN"/>
        </w:rPr>
        <w:t>。</w:t>
      </w:r>
    </w:p>
    <w:p w14:paraId="6D3D0623">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p>
    <w:p w14:paraId="3542070B">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附件：1.“安全生产月”活动宣传标语</w:t>
      </w:r>
    </w:p>
    <w:p w14:paraId="297D6A4A">
      <w:pPr>
        <w:keepNext w:val="0"/>
        <w:keepLines w:val="0"/>
        <w:pageBreakBefore w:val="0"/>
        <w:kinsoku/>
        <w:wordWrap/>
        <w:topLinePunct w:val="0"/>
        <w:autoSpaceDE/>
        <w:autoSpaceDN/>
        <w:bidi w:val="0"/>
        <w:adjustRightInd/>
        <w:snapToGrid/>
        <w:spacing w:line="560" w:lineRule="exact"/>
        <w:ind w:left="0" w:leftChars="0" w:firstLine="1600" w:firstLineChars="500"/>
        <w:rPr>
          <w:rFonts w:hint="eastAsia" w:ascii="仿宋_GB2312" w:hAnsi="仿宋" w:eastAsia="仿宋_GB2312" w:cs="Times New Roman"/>
          <w:sz w:val="32"/>
          <w:szCs w:val="32"/>
        </w:rPr>
      </w:pPr>
      <w:r>
        <w:rPr>
          <w:rFonts w:hint="eastAsia" w:ascii="仿宋_GB2312" w:hAnsi="仿宋" w:eastAsia="仿宋_GB2312" w:cs="Times New Roman"/>
          <w:sz w:val="32"/>
          <w:szCs w:val="32"/>
        </w:rPr>
        <w:t>2.2023年“安全生产月”活动联络员报名表</w:t>
      </w:r>
    </w:p>
    <w:p w14:paraId="22188D1A">
      <w:pPr>
        <w:keepNext w:val="0"/>
        <w:keepLines w:val="0"/>
        <w:pageBreakBefore w:val="0"/>
        <w:kinsoku/>
        <w:wordWrap/>
        <w:topLinePunct w:val="0"/>
        <w:autoSpaceDE/>
        <w:autoSpaceDN/>
        <w:bidi w:val="0"/>
        <w:adjustRightInd/>
        <w:snapToGrid/>
        <w:spacing w:line="560" w:lineRule="exact"/>
        <w:ind w:left="0" w:leftChars="0" w:firstLine="1600" w:firstLineChars="500"/>
        <w:rPr>
          <w:rFonts w:hint="eastAsia" w:ascii="仿宋_GB2312" w:hAnsi="仿宋" w:eastAsia="仿宋_GB2312" w:cs="Times New Roman"/>
          <w:sz w:val="32"/>
          <w:szCs w:val="32"/>
        </w:rPr>
      </w:pPr>
      <w:r>
        <w:rPr>
          <w:rFonts w:hint="eastAsia" w:ascii="仿宋_GB2312" w:hAnsi="仿宋" w:eastAsia="仿宋_GB2312" w:cs="Times New Roman"/>
          <w:sz w:val="32"/>
          <w:szCs w:val="32"/>
        </w:rPr>
        <w:t>3.“安全生产月”活动进展情况统计表</w:t>
      </w:r>
    </w:p>
    <w:p w14:paraId="1A65D506">
      <w:pPr>
        <w:keepNext w:val="0"/>
        <w:keepLines w:val="0"/>
        <w:pageBreakBefore w:val="0"/>
        <w:kinsoku/>
        <w:wordWrap/>
        <w:topLinePunct w:val="0"/>
        <w:autoSpaceDE/>
        <w:autoSpaceDN/>
        <w:bidi w:val="0"/>
        <w:adjustRightInd/>
        <w:snapToGrid/>
        <w:spacing w:line="560" w:lineRule="exact"/>
        <w:jc w:val="left"/>
        <w:rPr>
          <w:rFonts w:hint="eastAsia" w:ascii="黑体" w:hAnsi="黑体" w:eastAsia="黑体" w:cs="黑体"/>
          <w:sz w:val="32"/>
          <w:szCs w:val="32"/>
        </w:rPr>
      </w:pPr>
    </w:p>
    <w:p w14:paraId="006945EC">
      <w:pPr>
        <w:keepNext w:val="0"/>
        <w:keepLines w:val="0"/>
        <w:pageBreakBefore w:val="0"/>
        <w:kinsoku/>
        <w:wordWrap/>
        <w:topLinePunct w:val="0"/>
        <w:autoSpaceDE/>
        <w:autoSpaceDN/>
        <w:bidi w:val="0"/>
        <w:adjustRightInd/>
        <w:snapToGrid/>
        <w:spacing w:line="560" w:lineRule="exact"/>
        <w:jc w:val="left"/>
        <w:rPr>
          <w:rFonts w:hint="eastAsia" w:ascii="黑体" w:hAnsi="黑体" w:eastAsia="黑体" w:cs="黑体"/>
          <w:sz w:val="32"/>
          <w:szCs w:val="32"/>
        </w:rPr>
      </w:pPr>
    </w:p>
    <w:p w14:paraId="322013E9">
      <w:pPr>
        <w:keepNext w:val="0"/>
        <w:keepLines w:val="0"/>
        <w:pageBreakBefore w:val="0"/>
        <w:kinsoku/>
        <w:wordWrap/>
        <w:topLinePunct w:val="0"/>
        <w:autoSpaceDE/>
        <w:autoSpaceDN/>
        <w:bidi w:val="0"/>
        <w:adjustRightInd/>
        <w:snapToGrid/>
        <w:spacing w:line="560" w:lineRule="exact"/>
        <w:jc w:val="left"/>
        <w:rPr>
          <w:rFonts w:hint="eastAsia" w:ascii="黑体" w:hAnsi="黑体" w:eastAsia="黑体" w:cs="黑体"/>
          <w:sz w:val="32"/>
          <w:szCs w:val="32"/>
        </w:rPr>
      </w:pPr>
    </w:p>
    <w:p w14:paraId="366E585C">
      <w:pPr>
        <w:keepNext w:val="0"/>
        <w:keepLines w:val="0"/>
        <w:pageBreakBefore w:val="0"/>
        <w:kinsoku/>
        <w:wordWrap/>
        <w:topLinePunct w:val="0"/>
        <w:autoSpaceDE/>
        <w:autoSpaceDN/>
        <w:bidi w:val="0"/>
        <w:adjustRightInd/>
        <w:snapToGrid/>
        <w:spacing w:line="560" w:lineRule="exact"/>
        <w:jc w:val="left"/>
        <w:rPr>
          <w:rFonts w:hint="eastAsia" w:ascii="黑体" w:hAnsi="黑体" w:eastAsia="黑体" w:cs="黑体"/>
          <w:sz w:val="32"/>
          <w:szCs w:val="32"/>
        </w:rPr>
      </w:pPr>
    </w:p>
    <w:p w14:paraId="3542E358">
      <w:pPr>
        <w:keepNext w:val="0"/>
        <w:keepLines w:val="0"/>
        <w:pageBreakBefore w:val="0"/>
        <w:kinsoku/>
        <w:wordWrap/>
        <w:topLinePunct w:val="0"/>
        <w:autoSpaceDE/>
        <w:autoSpaceDN/>
        <w:bidi w:val="0"/>
        <w:adjustRightInd/>
        <w:snapToGrid/>
        <w:spacing w:line="560" w:lineRule="exact"/>
        <w:jc w:val="left"/>
        <w:rPr>
          <w:rFonts w:hint="eastAsia" w:ascii="黑体" w:hAnsi="黑体" w:eastAsia="黑体" w:cs="黑体"/>
          <w:sz w:val="32"/>
          <w:szCs w:val="32"/>
        </w:rPr>
      </w:pPr>
    </w:p>
    <w:p w14:paraId="046E5659">
      <w:pPr>
        <w:keepNext w:val="0"/>
        <w:keepLines w:val="0"/>
        <w:pageBreakBefore w:val="0"/>
        <w:kinsoku/>
        <w:wordWrap/>
        <w:topLinePunct w:val="0"/>
        <w:autoSpaceDE/>
        <w:autoSpaceDN/>
        <w:bidi w:val="0"/>
        <w:adjustRightInd/>
        <w:snapToGrid/>
        <w:spacing w:line="560" w:lineRule="exact"/>
        <w:jc w:val="left"/>
        <w:rPr>
          <w:rFonts w:hint="eastAsia" w:ascii="黑体" w:hAnsi="黑体" w:eastAsia="黑体" w:cs="黑体"/>
          <w:sz w:val="32"/>
          <w:szCs w:val="32"/>
        </w:rPr>
      </w:pPr>
    </w:p>
    <w:p w14:paraId="546C7EC8">
      <w:pPr>
        <w:keepNext w:val="0"/>
        <w:keepLines w:val="0"/>
        <w:pageBreakBefore w:val="0"/>
        <w:kinsoku/>
        <w:wordWrap/>
        <w:topLinePunct w:val="0"/>
        <w:autoSpaceDE/>
        <w:autoSpaceDN/>
        <w:bidi w:val="0"/>
        <w:adjustRightInd/>
        <w:snapToGrid/>
        <w:spacing w:line="560" w:lineRule="exact"/>
        <w:jc w:val="left"/>
        <w:rPr>
          <w:rFonts w:hint="eastAsia" w:ascii="黑体" w:hAnsi="黑体" w:eastAsia="黑体" w:cs="黑体"/>
          <w:sz w:val="32"/>
          <w:szCs w:val="32"/>
        </w:rPr>
      </w:pPr>
    </w:p>
    <w:p w14:paraId="7DDB3F6B">
      <w:pPr>
        <w:keepNext w:val="0"/>
        <w:keepLines w:val="0"/>
        <w:pageBreakBefore w:val="0"/>
        <w:kinsoku/>
        <w:wordWrap/>
        <w:topLinePunct w:val="0"/>
        <w:autoSpaceDE/>
        <w:autoSpaceDN/>
        <w:bidi w:val="0"/>
        <w:adjustRightInd/>
        <w:snapToGrid/>
        <w:spacing w:line="560" w:lineRule="exact"/>
        <w:jc w:val="left"/>
        <w:rPr>
          <w:rFonts w:hint="eastAsia" w:ascii="黑体" w:hAnsi="黑体" w:eastAsia="黑体" w:cs="黑体"/>
          <w:sz w:val="32"/>
          <w:szCs w:val="32"/>
        </w:rPr>
      </w:pPr>
    </w:p>
    <w:p w14:paraId="28788CEA">
      <w:pPr>
        <w:keepNext w:val="0"/>
        <w:keepLines w:val="0"/>
        <w:pageBreakBefore w:val="0"/>
        <w:kinsoku/>
        <w:wordWrap/>
        <w:topLinePunct w:val="0"/>
        <w:autoSpaceDE/>
        <w:autoSpaceDN/>
        <w:bidi w:val="0"/>
        <w:adjustRightInd/>
        <w:snapToGrid/>
        <w:spacing w:line="560" w:lineRule="exact"/>
        <w:jc w:val="left"/>
        <w:rPr>
          <w:rFonts w:hint="eastAsia" w:ascii="黑体" w:hAnsi="黑体" w:eastAsia="黑体" w:cs="黑体"/>
          <w:sz w:val="32"/>
          <w:szCs w:val="32"/>
        </w:rPr>
      </w:pPr>
    </w:p>
    <w:p w14:paraId="064057BF">
      <w:pPr>
        <w:keepNext w:val="0"/>
        <w:keepLines w:val="0"/>
        <w:pageBreakBefore w:val="0"/>
        <w:kinsoku/>
        <w:wordWrap/>
        <w:topLinePunct w:val="0"/>
        <w:autoSpaceDE/>
        <w:autoSpaceDN/>
        <w:bidi w:val="0"/>
        <w:adjustRightInd/>
        <w:snapToGrid/>
        <w:spacing w:line="560" w:lineRule="exact"/>
        <w:jc w:val="left"/>
        <w:rPr>
          <w:rFonts w:hint="eastAsia" w:ascii="黑体" w:hAnsi="黑体" w:eastAsia="黑体" w:cs="黑体"/>
          <w:sz w:val="32"/>
          <w:szCs w:val="32"/>
        </w:rPr>
      </w:pPr>
      <w:r>
        <w:rPr>
          <w:rFonts w:hint="eastAsia" w:ascii="黑体" w:hAnsi="黑体" w:eastAsia="黑体" w:cs="黑体"/>
          <w:sz w:val="32"/>
          <w:szCs w:val="32"/>
        </w:rPr>
        <w:t>附件1</w:t>
      </w:r>
    </w:p>
    <w:p w14:paraId="43D3CE8E">
      <w:pPr>
        <w:keepNext w:val="0"/>
        <w:keepLines w:val="0"/>
        <w:pageBreakBefore w:val="0"/>
        <w:kinsoku/>
        <w:wordWrap/>
        <w:topLinePunct w:val="0"/>
        <w:autoSpaceDE/>
        <w:autoSpaceDN/>
        <w:bidi w:val="0"/>
        <w:adjustRightInd/>
        <w:snapToGrid/>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“安全生产月”活动宣传标语</w:t>
      </w:r>
    </w:p>
    <w:p w14:paraId="76826644">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p>
    <w:p w14:paraId="1AFC28CB">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1.落实安全责任 推动安全发展</w:t>
      </w:r>
    </w:p>
    <w:p w14:paraId="78C53D3D">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2.生命至上 安全第一</w:t>
      </w:r>
    </w:p>
    <w:p w14:paraId="1C8A69C0">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3.工业倍增强经济 安全护航保发展</w:t>
      </w:r>
    </w:p>
    <w:p w14:paraId="1A5028EB">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4.安全是生命之本 违章是事故之源</w:t>
      </w:r>
    </w:p>
    <w:p w14:paraId="09C97B24">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5.深入贯彻安全生产十五条 全面落实安全生产责任制</w:t>
      </w:r>
    </w:p>
    <w:p w14:paraId="5054D2FF">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6.加强双月教育警示 落实安全生产责任</w:t>
      </w:r>
    </w:p>
    <w:p w14:paraId="4478FA57">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7.抓好重大事故隐患排查整治 护航“强工兴产、工业倍增”发展</w:t>
      </w:r>
    </w:p>
    <w:p w14:paraId="3CFE0E53">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8.落实八抓20条创新措施 层层压实安全生产责任</w:t>
      </w:r>
    </w:p>
    <w:p w14:paraId="6156ECA1">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9.安全规程系生命 自觉遵守是保障</w:t>
      </w:r>
    </w:p>
    <w:p w14:paraId="3F5B294E">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10.安全责任为天 生命至高无上</w:t>
      </w:r>
    </w:p>
    <w:p w14:paraId="3E88EFB1">
      <w:pPr>
        <w:keepNext w:val="0"/>
        <w:keepLines w:val="0"/>
        <w:pageBreakBefore w:val="0"/>
        <w:kinsoku/>
        <w:wordWrap/>
        <w:topLinePunct w:val="0"/>
        <w:autoSpaceDE/>
        <w:autoSpaceDN/>
        <w:bidi w:val="0"/>
        <w:adjustRightInd/>
        <w:snapToGrid/>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11.齐抓共管抓安全 凝聚合力勇争先 工业强市打基础 产业兴市谋新篇</w:t>
      </w:r>
    </w:p>
    <w:p w14:paraId="2E8DEDC5">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12.强化安全晨会制度 推动安全责任落实</w:t>
      </w:r>
    </w:p>
    <w:p w14:paraId="52EB0852">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13.安全是家庭幸福的保证 事故是人生悲剧的祸根</w:t>
      </w:r>
    </w:p>
    <w:p w14:paraId="594A6575">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14.树牢安全发展理念 守住安全生产底线</w:t>
      </w:r>
    </w:p>
    <w:p w14:paraId="3E3EE286">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15.生命重于泰山 守住安全底线</w:t>
      </w:r>
    </w:p>
    <w:p w14:paraId="009C3B04">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16.党政同责 一岗双责 齐抓共管 失职追责</w:t>
      </w:r>
    </w:p>
    <w:p w14:paraId="1C13B832">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17.安全是最大的经济效益</w:t>
      </w:r>
    </w:p>
    <w:p w14:paraId="0A196771">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18.安全警句千万条 安全生产第一条</w:t>
      </w:r>
    </w:p>
    <w:p w14:paraId="5BEA7C8F">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19.事故就在一瞬间 时刻精心保安全</w:t>
      </w:r>
    </w:p>
    <w:p w14:paraId="51EB7418">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20安全警钟鸣耳畔 规章制度记心间</w:t>
      </w:r>
    </w:p>
    <w:p w14:paraId="4F58F16A">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21.事故是最大的成本 安全是最大的效益</w:t>
      </w:r>
    </w:p>
    <w:p w14:paraId="04331E16">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22.安全来自警惕 事故出于麻痹</w:t>
      </w:r>
    </w:p>
    <w:p w14:paraId="104E29CE">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23.想安全事 上安全岗 做安全人</w:t>
      </w:r>
    </w:p>
    <w:p w14:paraId="18A4298D">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24.你对违章讲人情 事故对你不留情</w:t>
      </w:r>
    </w:p>
    <w:p w14:paraId="24C96A60">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25.宁为安全受累 不为事故流泪</w:t>
      </w:r>
    </w:p>
    <w:p w14:paraId="7C9D6CFA">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26.人民利益高于一切 安全责任重于泰山</w:t>
      </w:r>
    </w:p>
    <w:p w14:paraId="2C5F53B4">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27.安全生产勿侥幸 违章违规要人命</w:t>
      </w:r>
    </w:p>
    <w:p w14:paraId="25CB7FBB">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28.事故后果紧系心 安全素质不断升</w:t>
      </w:r>
    </w:p>
    <w:p w14:paraId="1226C96C">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29.安全为天 平安是福</w:t>
      </w:r>
    </w:p>
    <w:p w14:paraId="398D6870">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30.与其事后痛哭流涕 不如事前遵章守纪</w:t>
      </w:r>
    </w:p>
    <w:p w14:paraId="35B80A70">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31.安全不离口 规章不离手</w:t>
      </w:r>
    </w:p>
    <w:p w14:paraId="368DB135">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32.落实应急预案 加强事故防范</w:t>
      </w:r>
    </w:p>
    <w:p w14:paraId="68618D42">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33.生命只有一次 安全从我做起</w:t>
      </w:r>
    </w:p>
    <w:p w14:paraId="1C9F3CBC">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34.安全人人抓 幸福千万家</w:t>
      </w:r>
    </w:p>
    <w:p w14:paraId="5C96824C">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35.从根本上消除事故隐患 从根本上解决问题</w:t>
      </w:r>
    </w:p>
    <w:p w14:paraId="035C0791">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36.隐患险于明火 防范胜于救灾</w:t>
      </w:r>
    </w:p>
    <w:p w14:paraId="4FDD46DC">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37.城市发展你我共创 城市安全大家共享</w:t>
      </w:r>
    </w:p>
    <w:p w14:paraId="754BD370">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38.荆善大地 安全你我</w:t>
      </w:r>
    </w:p>
    <w:p w14:paraId="726F34CF">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39.共建共享 安全滕州</w:t>
      </w:r>
    </w:p>
    <w:p w14:paraId="472222B5">
      <w:pPr>
        <w:pStyle w:val="19"/>
        <w:keepNext w:val="0"/>
        <w:keepLines w:val="0"/>
        <w:pageBreakBefore w:val="0"/>
        <w:kinsoku/>
        <w:wordWrap/>
        <w:topLinePunct w:val="0"/>
        <w:autoSpaceDE/>
        <w:autoSpaceDN/>
        <w:bidi w:val="0"/>
        <w:adjustRightInd/>
        <w:snapToGrid/>
        <w:spacing w:line="560" w:lineRule="exact"/>
        <w:ind w:left="0" w:leftChars="0" w:firstLine="64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 xml:space="preserve">40.护航滕州发展 守卫群众安全 </w:t>
      </w:r>
    </w:p>
    <w:p w14:paraId="3FA26B5E">
      <w:pPr>
        <w:pStyle w:val="2"/>
        <w:keepNext w:val="0"/>
        <w:keepLines w:val="0"/>
        <w:pageBreakBefore w:val="0"/>
        <w:kinsoku/>
        <w:wordWrap/>
        <w:topLinePunct w:val="0"/>
        <w:autoSpaceDE/>
        <w:autoSpaceDN/>
        <w:bidi w:val="0"/>
        <w:adjustRightInd/>
        <w:snapToGrid/>
        <w:spacing w:line="560" w:lineRule="exact"/>
        <w:ind w:left="0" w:leftChars="0" w:firstLine="0" w:firstLineChars="0"/>
        <w:rPr>
          <w:rFonts w:hint="eastAsia" w:ascii="仿宋_GB2312" w:hAnsi="仿宋" w:eastAsia="仿宋_GB2312" w:cs="Times New Roman"/>
          <w:kern w:val="2"/>
          <w:sz w:val="32"/>
          <w:szCs w:val="32"/>
          <w:lang w:val="en-US" w:eastAsia="zh-CN" w:bidi="ar-SA"/>
        </w:rPr>
      </w:pPr>
    </w:p>
    <w:p w14:paraId="452CB680">
      <w:pPr>
        <w:pStyle w:val="2"/>
        <w:keepNext w:val="0"/>
        <w:keepLines w:val="0"/>
        <w:pageBreakBefore w:val="0"/>
        <w:kinsoku/>
        <w:wordWrap/>
        <w:topLinePunct w:val="0"/>
        <w:autoSpaceDE/>
        <w:autoSpaceDN/>
        <w:bidi w:val="0"/>
        <w:adjustRightInd/>
        <w:snapToGrid/>
        <w:spacing w:line="560" w:lineRule="exact"/>
        <w:ind w:left="0" w:leftChars="0" w:firstLine="0" w:firstLineChars="0"/>
      </w:pPr>
    </w:p>
    <w:p w14:paraId="096E3B4C">
      <w:pPr>
        <w:keepNext w:val="0"/>
        <w:keepLines w:val="0"/>
        <w:pageBreakBefore w:val="0"/>
        <w:kinsoku/>
        <w:wordWrap/>
        <w:topLinePunct w:val="0"/>
        <w:autoSpaceDE/>
        <w:autoSpaceDN/>
        <w:bidi w:val="0"/>
        <w:adjustRightInd/>
        <w:snapToGrid/>
        <w:spacing w:line="560" w:lineRule="exact"/>
        <w:ind w:left="0" w:leftChars="0"/>
        <w:rPr>
          <w:rFonts w:ascii="黑体" w:hAnsi="黑体" w:eastAsia="黑体" w:cs="宋体"/>
          <w:color w:val="000000"/>
          <w:sz w:val="32"/>
          <w:szCs w:val="32"/>
        </w:rPr>
        <w:sectPr>
          <w:footerReference r:id="rId3" w:type="default"/>
          <w:pgSz w:w="11906" w:h="16838"/>
          <w:pgMar w:top="1587" w:right="1587" w:bottom="1587" w:left="1587" w:header="851" w:footer="1304" w:gutter="0"/>
          <w:pgNumType w:fmt="numberInDash"/>
          <w:cols w:space="0" w:num="1"/>
          <w:rtlGutter w:val="0"/>
          <w:docGrid w:type="lines" w:linePitch="312" w:charSpace="0"/>
        </w:sectPr>
      </w:pPr>
    </w:p>
    <w:tbl>
      <w:tblPr>
        <w:tblStyle w:val="14"/>
        <w:tblW w:w="14379" w:type="dxa"/>
        <w:jc w:val="center"/>
        <w:tblLayout w:type="fixed"/>
        <w:tblCellMar>
          <w:top w:w="0" w:type="dxa"/>
          <w:left w:w="108" w:type="dxa"/>
          <w:bottom w:w="0" w:type="dxa"/>
          <w:right w:w="108" w:type="dxa"/>
        </w:tblCellMar>
      </w:tblPr>
      <w:tblGrid>
        <w:gridCol w:w="2592"/>
        <w:gridCol w:w="2308"/>
        <w:gridCol w:w="1777"/>
        <w:gridCol w:w="2484"/>
        <w:gridCol w:w="1955"/>
        <w:gridCol w:w="2543"/>
        <w:gridCol w:w="240"/>
        <w:gridCol w:w="480"/>
      </w:tblGrid>
      <w:tr w14:paraId="1D306AD4">
        <w:tblPrEx>
          <w:tblCellMar>
            <w:top w:w="0" w:type="dxa"/>
            <w:left w:w="108" w:type="dxa"/>
            <w:bottom w:w="0" w:type="dxa"/>
            <w:right w:w="108" w:type="dxa"/>
          </w:tblCellMar>
        </w:tblPrEx>
        <w:trPr>
          <w:gridAfter w:val="1"/>
          <w:wAfter w:w="480" w:type="dxa"/>
          <w:trHeight w:val="624" w:hRule="atLeast"/>
          <w:jc w:val="center"/>
        </w:trPr>
        <w:tc>
          <w:tcPr>
            <w:tcW w:w="13899" w:type="dxa"/>
            <w:gridSpan w:val="7"/>
            <w:vMerge w:val="restart"/>
            <w:vAlign w:val="center"/>
          </w:tcPr>
          <w:p w14:paraId="34CFD985">
            <w:pPr>
              <w:keepNext w:val="0"/>
              <w:keepLines w:val="0"/>
              <w:pageBreakBefore w:val="0"/>
              <w:kinsoku/>
              <w:wordWrap/>
              <w:topLinePunct w:val="0"/>
              <w:autoSpaceDE/>
              <w:autoSpaceDN/>
              <w:bidi w:val="0"/>
              <w:adjustRightInd/>
              <w:snapToGrid/>
              <w:spacing w:line="560" w:lineRule="exact"/>
              <w:ind w:left="0" w:leftChars="0"/>
              <w:rPr>
                <w:rFonts w:ascii="黑体" w:hAnsi="黑体" w:eastAsia="黑体" w:cs="宋体"/>
                <w:color w:val="000000"/>
                <w:sz w:val="32"/>
                <w:szCs w:val="32"/>
              </w:rPr>
            </w:pPr>
            <w:r>
              <w:rPr>
                <w:rFonts w:hint="eastAsia" w:ascii="黑体" w:hAnsi="黑体" w:eastAsia="黑体" w:cs="宋体"/>
                <w:color w:val="000000"/>
                <w:sz w:val="32"/>
                <w:szCs w:val="32"/>
              </w:rPr>
              <w:t>附件2</w:t>
            </w:r>
          </w:p>
          <w:p w14:paraId="0D6952B7">
            <w:pPr>
              <w:keepNext w:val="0"/>
              <w:keepLines w:val="0"/>
              <w:pageBreakBefore w:val="0"/>
              <w:kinsoku/>
              <w:wordWrap/>
              <w:topLinePunct w:val="0"/>
              <w:autoSpaceDE/>
              <w:autoSpaceDN/>
              <w:bidi w:val="0"/>
              <w:adjustRightInd/>
              <w:snapToGrid/>
              <w:spacing w:line="560" w:lineRule="exact"/>
              <w:ind w:left="0" w:leftChars="0"/>
              <w:jc w:val="center"/>
              <w:rPr>
                <w:rFonts w:ascii="宋体" w:hAnsi="宋体" w:eastAsia="方正小标宋简体" w:cs="宋体"/>
                <w:b/>
                <w:bCs/>
                <w:color w:val="000000"/>
                <w:sz w:val="44"/>
                <w:szCs w:val="44"/>
              </w:rPr>
            </w:pPr>
          </w:p>
          <w:p w14:paraId="1B3586B8">
            <w:pPr>
              <w:keepNext w:val="0"/>
              <w:keepLines w:val="0"/>
              <w:pageBreakBefore w:val="0"/>
              <w:kinsoku/>
              <w:wordWrap/>
              <w:topLinePunct w:val="0"/>
              <w:autoSpaceDE/>
              <w:autoSpaceDN/>
              <w:bidi w:val="0"/>
              <w:adjustRightInd/>
              <w:snapToGrid/>
              <w:spacing w:line="560" w:lineRule="exact"/>
              <w:ind w:left="0" w:leftChars="0"/>
              <w:jc w:val="center"/>
              <w:rPr>
                <w:rFonts w:ascii="宋体" w:hAnsi="宋体" w:eastAsia="方正小标宋简体" w:cs="宋体"/>
                <w:color w:val="000000"/>
                <w:sz w:val="44"/>
                <w:szCs w:val="44"/>
              </w:rPr>
            </w:pPr>
            <w:r>
              <w:rPr>
                <w:rFonts w:hint="eastAsia" w:ascii="方正小标宋简体" w:hAnsi="方正小标宋简体" w:eastAsia="方正小标宋简体" w:cs="方正小标宋简体"/>
                <w:sz w:val="44"/>
                <w:szCs w:val="44"/>
              </w:rPr>
              <w:t>2023年“安全生产月”活动联络员报名表</w:t>
            </w:r>
          </w:p>
          <w:p w14:paraId="1CCBAC06">
            <w:pPr>
              <w:keepNext w:val="0"/>
              <w:keepLines w:val="0"/>
              <w:pageBreakBefore w:val="0"/>
              <w:kinsoku/>
              <w:wordWrap/>
              <w:topLinePunct w:val="0"/>
              <w:autoSpaceDE/>
              <w:autoSpaceDN/>
              <w:bidi w:val="0"/>
              <w:adjustRightInd/>
              <w:snapToGrid/>
              <w:spacing w:line="560" w:lineRule="exact"/>
              <w:ind w:left="0" w:leftChars="0"/>
              <w:jc w:val="center"/>
              <w:rPr>
                <w:rFonts w:ascii="宋体" w:hAnsi="宋体" w:eastAsia="方正小标宋简体" w:cs="宋体"/>
                <w:b/>
                <w:bCs/>
                <w:color w:val="000000"/>
                <w:sz w:val="44"/>
                <w:szCs w:val="44"/>
              </w:rPr>
            </w:pPr>
          </w:p>
        </w:tc>
      </w:tr>
      <w:tr w14:paraId="772B10DE">
        <w:tblPrEx>
          <w:tblCellMar>
            <w:top w:w="0" w:type="dxa"/>
            <w:left w:w="108" w:type="dxa"/>
            <w:bottom w:w="0" w:type="dxa"/>
            <w:right w:w="108" w:type="dxa"/>
          </w:tblCellMar>
        </w:tblPrEx>
        <w:trPr>
          <w:trHeight w:val="1154" w:hRule="atLeast"/>
          <w:jc w:val="center"/>
        </w:trPr>
        <w:tc>
          <w:tcPr>
            <w:tcW w:w="13899" w:type="dxa"/>
            <w:gridSpan w:val="7"/>
            <w:vMerge w:val="continue"/>
            <w:vAlign w:val="center"/>
          </w:tcPr>
          <w:p w14:paraId="3A909D02">
            <w:pPr>
              <w:keepNext w:val="0"/>
              <w:keepLines w:val="0"/>
              <w:pageBreakBefore w:val="0"/>
              <w:widowControl/>
              <w:kinsoku/>
              <w:wordWrap/>
              <w:topLinePunct w:val="0"/>
              <w:autoSpaceDE/>
              <w:autoSpaceDN/>
              <w:bidi w:val="0"/>
              <w:adjustRightInd/>
              <w:snapToGrid/>
              <w:spacing w:line="560" w:lineRule="exact"/>
              <w:ind w:left="0" w:leftChars="0"/>
              <w:jc w:val="left"/>
              <w:rPr>
                <w:rFonts w:ascii="宋体" w:hAnsi="宋体" w:eastAsia="方正小标宋简体" w:cs="宋体"/>
                <w:b/>
                <w:bCs/>
                <w:color w:val="000000"/>
                <w:sz w:val="44"/>
                <w:szCs w:val="44"/>
              </w:rPr>
            </w:pPr>
          </w:p>
        </w:tc>
        <w:tc>
          <w:tcPr>
            <w:tcW w:w="480" w:type="dxa"/>
            <w:vAlign w:val="center"/>
          </w:tcPr>
          <w:p w14:paraId="39A9A547">
            <w:pPr>
              <w:keepNext w:val="0"/>
              <w:keepLines w:val="0"/>
              <w:pageBreakBefore w:val="0"/>
              <w:kinsoku/>
              <w:wordWrap/>
              <w:topLinePunct w:val="0"/>
              <w:autoSpaceDE/>
              <w:autoSpaceDN/>
              <w:bidi w:val="0"/>
              <w:adjustRightInd/>
              <w:snapToGrid/>
              <w:spacing w:line="560" w:lineRule="exact"/>
              <w:ind w:left="0" w:leftChars="0"/>
              <w:rPr>
                <w:rFonts w:ascii="宋体" w:hAnsi="宋体" w:eastAsia="方正小标宋简体" w:cs="宋体"/>
                <w:b/>
                <w:bCs/>
                <w:color w:val="000000"/>
                <w:sz w:val="44"/>
                <w:szCs w:val="44"/>
              </w:rPr>
            </w:pPr>
          </w:p>
        </w:tc>
      </w:tr>
      <w:tr w14:paraId="142E4E3D">
        <w:tblPrEx>
          <w:tblCellMar>
            <w:top w:w="0" w:type="dxa"/>
            <w:left w:w="108" w:type="dxa"/>
            <w:bottom w:w="0" w:type="dxa"/>
            <w:right w:w="108" w:type="dxa"/>
          </w:tblCellMar>
        </w:tblPrEx>
        <w:trPr>
          <w:trHeight w:val="869" w:hRule="atLeast"/>
          <w:jc w:val="center"/>
        </w:trPr>
        <w:tc>
          <w:tcPr>
            <w:tcW w:w="2592" w:type="dxa"/>
            <w:tcBorders>
              <w:top w:val="single" w:color="auto" w:sz="4" w:space="0"/>
              <w:left w:val="single" w:color="auto" w:sz="4" w:space="0"/>
              <w:bottom w:val="single" w:color="auto" w:sz="4" w:space="0"/>
              <w:right w:val="single" w:color="auto" w:sz="4" w:space="0"/>
            </w:tcBorders>
            <w:vAlign w:val="center"/>
          </w:tcPr>
          <w:p w14:paraId="0AA3ACA6">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姓 名</w:t>
            </w:r>
          </w:p>
        </w:tc>
        <w:tc>
          <w:tcPr>
            <w:tcW w:w="2308" w:type="dxa"/>
            <w:tcBorders>
              <w:top w:val="single" w:color="auto" w:sz="4" w:space="0"/>
              <w:left w:val="nil"/>
              <w:bottom w:val="single" w:color="auto" w:sz="4" w:space="0"/>
              <w:right w:val="single" w:color="auto" w:sz="4" w:space="0"/>
            </w:tcBorders>
            <w:vAlign w:val="center"/>
          </w:tcPr>
          <w:p w14:paraId="3550A6C5">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p>
        </w:tc>
        <w:tc>
          <w:tcPr>
            <w:tcW w:w="1777" w:type="dxa"/>
            <w:tcBorders>
              <w:top w:val="single" w:color="auto" w:sz="4" w:space="0"/>
              <w:left w:val="nil"/>
              <w:bottom w:val="single" w:color="auto" w:sz="4" w:space="0"/>
              <w:right w:val="single" w:color="auto" w:sz="4" w:space="0"/>
            </w:tcBorders>
            <w:vAlign w:val="center"/>
          </w:tcPr>
          <w:p w14:paraId="340FF198">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性别</w:t>
            </w:r>
          </w:p>
        </w:tc>
        <w:tc>
          <w:tcPr>
            <w:tcW w:w="2484" w:type="dxa"/>
            <w:tcBorders>
              <w:top w:val="single" w:color="auto" w:sz="4" w:space="0"/>
              <w:left w:val="nil"/>
              <w:bottom w:val="single" w:color="auto" w:sz="4" w:space="0"/>
              <w:right w:val="single" w:color="auto" w:sz="4" w:space="0"/>
            </w:tcBorders>
            <w:vAlign w:val="center"/>
          </w:tcPr>
          <w:p w14:paraId="112F4863">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p>
        </w:tc>
        <w:tc>
          <w:tcPr>
            <w:tcW w:w="1955" w:type="dxa"/>
            <w:tcBorders>
              <w:top w:val="single" w:color="auto" w:sz="4" w:space="0"/>
              <w:left w:val="nil"/>
              <w:bottom w:val="single" w:color="auto" w:sz="4" w:space="0"/>
              <w:right w:val="single" w:color="auto" w:sz="4" w:space="0"/>
            </w:tcBorders>
            <w:vAlign w:val="center"/>
          </w:tcPr>
          <w:p w14:paraId="285474A4">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职务</w:t>
            </w:r>
          </w:p>
        </w:tc>
        <w:tc>
          <w:tcPr>
            <w:tcW w:w="2543" w:type="dxa"/>
            <w:tcBorders>
              <w:top w:val="single" w:color="auto" w:sz="4" w:space="0"/>
              <w:left w:val="nil"/>
              <w:bottom w:val="single" w:color="auto" w:sz="4" w:space="0"/>
              <w:right w:val="single" w:color="auto" w:sz="4" w:space="0"/>
            </w:tcBorders>
            <w:vAlign w:val="center"/>
          </w:tcPr>
          <w:p w14:paraId="523E4C03">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p>
        </w:tc>
        <w:tc>
          <w:tcPr>
            <w:tcW w:w="240" w:type="dxa"/>
            <w:tcMar>
              <w:top w:w="0" w:type="dxa"/>
              <w:left w:w="0" w:type="dxa"/>
              <w:bottom w:w="0" w:type="dxa"/>
              <w:right w:w="0" w:type="dxa"/>
            </w:tcMar>
            <w:vAlign w:val="center"/>
          </w:tcPr>
          <w:p w14:paraId="3DD5CE9C">
            <w:pPr>
              <w:keepNext w:val="0"/>
              <w:keepLines w:val="0"/>
              <w:pageBreakBefore w:val="0"/>
              <w:kinsoku/>
              <w:wordWrap/>
              <w:topLinePunct w:val="0"/>
              <w:autoSpaceDE/>
              <w:autoSpaceDN/>
              <w:bidi w:val="0"/>
              <w:adjustRightInd/>
              <w:snapToGrid/>
              <w:spacing w:line="560" w:lineRule="exact"/>
              <w:ind w:left="0" w:leftChars="0"/>
              <w:rPr>
                <w:rFonts w:cs="宋体"/>
                <w:color w:val="000000"/>
              </w:rPr>
            </w:pPr>
            <w:r>
              <w:rPr>
                <w:rFonts w:hint="eastAsia" w:cs="宋体"/>
                <w:color w:val="000000"/>
              </w:rPr>
              <w:t> </w:t>
            </w:r>
          </w:p>
        </w:tc>
        <w:tc>
          <w:tcPr>
            <w:tcW w:w="480" w:type="dxa"/>
            <w:vAlign w:val="center"/>
          </w:tcPr>
          <w:p w14:paraId="7D48F4D6">
            <w:pPr>
              <w:keepNext w:val="0"/>
              <w:keepLines w:val="0"/>
              <w:pageBreakBefore w:val="0"/>
              <w:widowControl/>
              <w:kinsoku/>
              <w:wordWrap/>
              <w:topLinePunct w:val="0"/>
              <w:autoSpaceDE/>
              <w:autoSpaceDN/>
              <w:bidi w:val="0"/>
              <w:adjustRightInd/>
              <w:snapToGrid/>
              <w:spacing w:line="560" w:lineRule="exact"/>
              <w:ind w:left="0" w:leftChars="0"/>
              <w:jc w:val="left"/>
              <w:rPr>
                <w:rFonts w:cs="宋体"/>
                <w:color w:val="000000"/>
                <w:kern w:val="0"/>
                <w:sz w:val="20"/>
                <w:szCs w:val="20"/>
              </w:rPr>
            </w:pPr>
          </w:p>
        </w:tc>
      </w:tr>
      <w:tr w14:paraId="6A4A6195">
        <w:tblPrEx>
          <w:tblCellMar>
            <w:top w:w="0" w:type="dxa"/>
            <w:left w:w="108" w:type="dxa"/>
            <w:bottom w:w="0" w:type="dxa"/>
            <w:right w:w="108" w:type="dxa"/>
          </w:tblCellMar>
        </w:tblPrEx>
        <w:trPr>
          <w:trHeight w:val="908" w:hRule="atLeast"/>
          <w:jc w:val="center"/>
        </w:trPr>
        <w:tc>
          <w:tcPr>
            <w:tcW w:w="2592" w:type="dxa"/>
            <w:tcBorders>
              <w:top w:val="nil"/>
              <w:left w:val="single" w:color="auto" w:sz="4" w:space="0"/>
              <w:bottom w:val="single" w:color="auto" w:sz="4" w:space="0"/>
              <w:right w:val="single" w:color="auto" w:sz="4" w:space="0"/>
            </w:tcBorders>
            <w:vAlign w:val="center"/>
          </w:tcPr>
          <w:p w14:paraId="1A0FAE26">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办公电话</w:t>
            </w:r>
          </w:p>
        </w:tc>
        <w:tc>
          <w:tcPr>
            <w:tcW w:w="2308" w:type="dxa"/>
            <w:tcBorders>
              <w:top w:val="nil"/>
              <w:left w:val="nil"/>
              <w:bottom w:val="single" w:color="auto" w:sz="4" w:space="0"/>
              <w:right w:val="single" w:color="auto" w:sz="4" w:space="0"/>
            </w:tcBorders>
            <w:vAlign w:val="center"/>
          </w:tcPr>
          <w:p w14:paraId="2BA340BB">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p>
        </w:tc>
        <w:tc>
          <w:tcPr>
            <w:tcW w:w="1777" w:type="dxa"/>
            <w:tcBorders>
              <w:top w:val="nil"/>
              <w:left w:val="nil"/>
              <w:bottom w:val="single" w:color="auto" w:sz="4" w:space="0"/>
              <w:right w:val="single" w:color="auto" w:sz="4" w:space="0"/>
            </w:tcBorders>
            <w:vAlign w:val="center"/>
          </w:tcPr>
          <w:p w14:paraId="3FDA119C">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手机</w:t>
            </w:r>
          </w:p>
        </w:tc>
        <w:tc>
          <w:tcPr>
            <w:tcW w:w="2484" w:type="dxa"/>
            <w:tcBorders>
              <w:top w:val="nil"/>
              <w:left w:val="nil"/>
              <w:bottom w:val="single" w:color="auto" w:sz="4" w:space="0"/>
              <w:right w:val="single" w:color="auto" w:sz="4" w:space="0"/>
            </w:tcBorders>
            <w:vAlign w:val="center"/>
          </w:tcPr>
          <w:p w14:paraId="0126D5D9">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p>
        </w:tc>
        <w:tc>
          <w:tcPr>
            <w:tcW w:w="1955" w:type="dxa"/>
            <w:tcBorders>
              <w:top w:val="nil"/>
              <w:left w:val="nil"/>
              <w:bottom w:val="single" w:color="auto" w:sz="4" w:space="0"/>
              <w:right w:val="single" w:color="auto" w:sz="4" w:space="0"/>
            </w:tcBorders>
            <w:vAlign w:val="center"/>
          </w:tcPr>
          <w:p w14:paraId="3AF2BCE0">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传真</w:t>
            </w:r>
          </w:p>
        </w:tc>
        <w:tc>
          <w:tcPr>
            <w:tcW w:w="2543" w:type="dxa"/>
            <w:tcBorders>
              <w:top w:val="single" w:color="auto" w:sz="4" w:space="0"/>
              <w:left w:val="nil"/>
              <w:bottom w:val="single" w:color="auto" w:sz="4" w:space="0"/>
              <w:right w:val="single" w:color="auto" w:sz="4" w:space="0"/>
            </w:tcBorders>
            <w:vAlign w:val="center"/>
          </w:tcPr>
          <w:p w14:paraId="34B7DA50">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p>
        </w:tc>
        <w:tc>
          <w:tcPr>
            <w:tcW w:w="240" w:type="dxa"/>
            <w:tcMar>
              <w:top w:w="0" w:type="dxa"/>
              <w:left w:w="0" w:type="dxa"/>
              <w:bottom w:w="0" w:type="dxa"/>
              <w:right w:w="0" w:type="dxa"/>
            </w:tcMar>
            <w:vAlign w:val="center"/>
          </w:tcPr>
          <w:p w14:paraId="739FEF86">
            <w:pPr>
              <w:keepNext w:val="0"/>
              <w:keepLines w:val="0"/>
              <w:pageBreakBefore w:val="0"/>
              <w:kinsoku/>
              <w:wordWrap/>
              <w:topLinePunct w:val="0"/>
              <w:autoSpaceDE/>
              <w:autoSpaceDN/>
              <w:bidi w:val="0"/>
              <w:adjustRightInd/>
              <w:snapToGrid/>
              <w:spacing w:line="560" w:lineRule="exact"/>
              <w:ind w:left="0" w:leftChars="0"/>
              <w:rPr>
                <w:rFonts w:cs="宋体"/>
                <w:color w:val="000000"/>
              </w:rPr>
            </w:pPr>
            <w:r>
              <w:rPr>
                <w:rFonts w:hint="eastAsia" w:cs="宋体"/>
                <w:color w:val="000000"/>
              </w:rPr>
              <w:t> </w:t>
            </w:r>
          </w:p>
        </w:tc>
        <w:tc>
          <w:tcPr>
            <w:tcW w:w="480" w:type="dxa"/>
            <w:vAlign w:val="center"/>
          </w:tcPr>
          <w:p w14:paraId="121EF1B4">
            <w:pPr>
              <w:keepNext w:val="0"/>
              <w:keepLines w:val="0"/>
              <w:pageBreakBefore w:val="0"/>
              <w:widowControl/>
              <w:kinsoku/>
              <w:wordWrap/>
              <w:topLinePunct w:val="0"/>
              <w:autoSpaceDE/>
              <w:autoSpaceDN/>
              <w:bidi w:val="0"/>
              <w:adjustRightInd/>
              <w:snapToGrid/>
              <w:spacing w:line="560" w:lineRule="exact"/>
              <w:ind w:left="0" w:leftChars="0"/>
              <w:jc w:val="left"/>
              <w:rPr>
                <w:rFonts w:cs="宋体"/>
                <w:color w:val="000000"/>
                <w:kern w:val="0"/>
                <w:sz w:val="20"/>
                <w:szCs w:val="20"/>
              </w:rPr>
            </w:pPr>
          </w:p>
        </w:tc>
      </w:tr>
      <w:tr w14:paraId="296F207F">
        <w:tblPrEx>
          <w:tblCellMar>
            <w:top w:w="0" w:type="dxa"/>
            <w:left w:w="108" w:type="dxa"/>
            <w:bottom w:w="0" w:type="dxa"/>
            <w:right w:w="108" w:type="dxa"/>
          </w:tblCellMar>
        </w:tblPrEx>
        <w:trPr>
          <w:trHeight w:val="1062" w:hRule="atLeast"/>
          <w:jc w:val="center"/>
        </w:trPr>
        <w:tc>
          <w:tcPr>
            <w:tcW w:w="2592" w:type="dxa"/>
            <w:tcBorders>
              <w:top w:val="nil"/>
              <w:left w:val="single" w:color="auto" w:sz="4" w:space="0"/>
              <w:bottom w:val="single" w:color="auto" w:sz="4" w:space="0"/>
              <w:right w:val="single" w:color="auto" w:sz="4" w:space="0"/>
            </w:tcBorders>
            <w:vAlign w:val="center"/>
          </w:tcPr>
          <w:p w14:paraId="042CC643">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电子邮箱</w:t>
            </w:r>
          </w:p>
        </w:tc>
        <w:tc>
          <w:tcPr>
            <w:tcW w:w="11067" w:type="dxa"/>
            <w:gridSpan w:val="5"/>
            <w:tcBorders>
              <w:top w:val="single" w:color="auto" w:sz="4" w:space="0"/>
              <w:left w:val="nil"/>
              <w:bottom w:val="single" w:color="auto" w:sz="4" w:space="0"/>
              <w:right w:val="single" w:color="auto" w:sz="4" w:space="0"/>
            </w:tcBorders>
            <w:vAlign w:val="bottom"/>
          </w:tcPr>
          <w:p w14:paraId="40AF9955">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p>
        </w:tc>
        <w:tc>
          <w:tcPr>
            <w:tcW w:w="240" w:type="dxa"/>
            <w:tcMar>
              <w:top w:w="0" w:type="dxa"/>
              <w:left w:w="0" w:type="dxa"/>
              <w:bottom w:w="0" w:type="dxa"/>
              <w:right w:w="0" w:type="dxa"/>
            </w:tcMar>
            <w:vAlign w:val="center"/>
          </w:tcPr>
          <w:p w14:paraId="16DA28F2">
            <w:pPr>
              <w:keepNext w:val="0"/>
              <w:keepLines w:val="0"/>
              <w:pageBreakBefore w:val="0"/>
              <w:kinsoku/>
              <w:wordWrap/>
              <w:topLinePunct w:val="0"/>
              <w:autoSpaceDE/>
              <w:autoSpaceDN/>
              <w:bidi w:val="0"/>
              <w:adjustRightInd/>
              <w:snapToGrid/>
              <w:spacing w:line="560" w:lineRule="exact"/>
              <w:ind w:left="0" w:leftChars="0"/>
              <w:rPr>
                <w:rFonts w:cs="宋体"/>
                <w:color w:val="000000"/>
              </w:rPr>
            </w:pPr>
          </w:p>
        </w:tc>
        <w:tc>
          <w:tcPr>
            <w:tcW w:w="480" w:type="dxa"/>
            <w:vAlign w:val="center"/>
          </w:tcPr>
          <w:p w14:paraId="5E339571">
            <w:pPr>
              <w:keepNext w:val="0"/>
              <w:keepLines w:val="0"/>
              <w:pageBreakBefore w:val="0"/>
              <w:widowControl/>
              <w:kinsoku/>
              <w:wordWrap/>
              <w:topLinePunct w:val="0"/>
              <w:autoSpaceDE/>
              <w:autoSpaceDN/>
              <w:bidi w:val="0"/>
              <w:adjustRightInd/>
              <w:snapToGrid/>
              <w:spacing w:line="560" w:lineRule="exact"/>
              <w:ind w:left="0" w:leftChars="0"/>
              <w:jc w:val="left"/>
              <w:rPr>
                <w:rFonts w:cs="宋体"/>
                <w:color w:val="000000"/>
                <w:kern w:val="0"/>
                <w:sz w:val="20"/>
                <w:szCs w:val="20"/>
              </w:rPr>
            </w:pPr>
          </w:p>
        </w:tc>
      </w:tr>
      <w:tr w14:paraId="774F1935">
        <w:tblPrEx>
          <w:tblCellMar>
            <w:top w:w="0" w:type="dxa"/>
            <w:left w:w="108" w:type="dxa"/>
            <w:bottom w:w="0" w:type="dxa"/>
            <w:right w:w="108" w:type="dxa"/>
          </w:tblCellMar>
        </w:tblPrEx>
        <w:trPr>
          <w:trHeight w:val="1062" w:hRule="atLeast"/>
          <w:jc w:val="center"/>
        </w:trPr>
        <w:tc>
          <w:tcPr>
            <w:tcW w:w="2592" w:type="dxa"/>
            <w:tcBorders>
              <w:top w:val="nil"/>
              <w:left w:val="single" w:color="auto" w:sz="4" w:space="0"/>
              <w:bottom w:val="single" w:color="auto" w:sz="4" w:space="0"/>
              <w:right w:val="single" w:color="auto" w:sz="4" w:space="0"/>
            </w:tcBorders>
            <w:vAlign w:val="center"/>
          </w:tcPr>
          <w:p w14:paraId="2CBF012B">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单位名称</w:t>
            </w:r>
          </w:p>
        </w:tc>
        <w:tc>
          <w:tcPr>
            <w:tcW w:w="11067" w:type="dxa"/>
            <w:gridSpan w:val="5"/>
            <w:tcBorders>
              <w:top w:val="single" w:color="auto" w:sz="4" w:space="0"/>
              <w:left w:val="nil"/>
              <w:bottom w:val="single" w:color="auto" w:sz="4" w:space="0"/>
              <w:right w:val="single" w:color="auto" w:sz="4" w:space="0"/>
            </w:tcBorders>
            <w:vAlign w:val="bottom"/>
          </w:tcPr>
          <w:p w14:paraId="01687990">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p>
        </w:tc>
        <w:tc>
          <w:tcPr>
            <w:tcW w:w="240" w:type="dxa"/>
            <w:tcMar>
              <w:top w:w="0" w:type="dxa"/>
              <w:left w:w="0" w:type="dxa"/>
              <w:bottom w:w="0" w:type="dxa"/>
              <w:right w:w="0" w:type="dxa"/>
            </w:tcMar>
            <w:vAlign w:val="center"/>
          </w:tcPr>
          <w:p w14:paraId="51BB5298">
            <w:pPr>
              <w:keepNext w:val="0"/>
              <w:keepLines w:val="0"/>
              <w:pageBreakBefore w:val="0"/>
              <w:kinsoku/>
              <w:wordWrap/>
              <w:topLinePunct w:val="0"/>
              <w:autoSpaceDE/>
              <w:autoSpaceDN/>
              <w:bidi w:val="0"/>
              <w:adjustRightInd/>
              <w:snapToGrid/>
              <w:spacing w:line="560" w:lineRule="exact"/>
              <w:ind w:left="0" w:leftChars="0"/>
              <w:rPr>
                <w:rFonts w:cs="宋体"/>
                <w:color w:val="000000"/>
              </w:rPr>
            </w:pPr>
            <w:r>
              <w:rPr>
                <w:rFonts w:hint="eastAsia" w:cs="宋体"/>
                <w:color w:val="000000"/>
              </w:rPr>
              <w:t> </w:t>
            </w:r>
          </w:p>
        </w:tc>
        <w:tc>
          <w:tcPr>
            <w:tcW w:w="480" w:type="dxa"/>
            <w:vAlign w:val="center"/>
          </w:tcPr>
          <w:p w14:paraId="647DDE14">
            <w:pPr>
              <w:keepNext w:val="0"/>
              <w:keepLines w:val="0"/>
              <w:pageBreakBefore w:val="0"/>
              <w:widowControl/>
              <w:kinsoku/>
              <w:wordWrap/>
              <w:topLinePunct w:val="0"/>
              <w:autoSpaceDE/>
              <w:autoSpaceDN/>
              <w:bidi w:val="0"/>
              <w:adjustRightInd/>
              <w:snapToGrid/>
              <w:spacing w:line="560" w:lineRule="exact"/>
              <w:ind w:left="0" w:leftChars="0"/>
              <w:jc w:val="left"/>
              <w:rPr>
                <w:rFonts w:cs="宋体"/>
                <w:color w:val="000000"/>
                <w:kern w:val="0"/>
                <w:sz w:val="20"/>
                <w:szCs w:val="20"/>
              </w:rPr>
            </w:pPr>
          </w:p>
        </w:tc>
      </w:tr>
      <w:tr w14:paraId="638BC8C5">
        <w:tblPrEx>
          <w:tblCellMar>
            <w:top w:w="0" w:type="dxa"/>
            <w:left w:w="108" w:type="dxa"/>
            <w:bottom w:w="0" w:type="dxa"/>
            <w:right w:w="108" w:type="dxa"/>
          </w:tblCellMar>
        </w:tblPrEx>
        <w:trPr>
          <w:trHeight w:val="1089" w:hRule="atLeast"/>
          <w:jc w:val="center"/>
        </w:trPr>
        <w:tc>
          <w:tcPr>
            <w:tcW w:w="2592" w:type="dxa"/>
            <w:tcBorders>
              <w:top w:val="nil"/>
              <w:left w:val="single" w:color="auto" w:sz="4" w:space="0"/>
              <w:bottom w:val="single" w:color="auto" w:sz="4" w:space="0"/>
              <w:right w:val="single" w:color="auto" w:sz="4" w:space="0"/>
            </w:tcBorders>
            <w:vAlign w:val="center"/>
          </w:tcPr>
          <w:p w14:paraId="144513AE">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r>
              <w:rPr>
                <w:rFonts w:hint="eastAsia" w:ascii="仿宋_GB2312" w:hAnsi="宋体" w:eastAsia="仿宋_GB2312" w:cs="宋体"/>
                <w:color w:val="000000"/>
                <w:sz w:val="32"/>
                <w:szCs w:val="32"/>
              </w:rPr>
              <w:t>通信地址</w:t>
            </w:r>
          </w:p>
        </w:tc>
        <w:tc>
          <w:tcPr>
            <w:tcW w:w="11067" w:type="dxa"/>
            <w:gridSpan w:val="5"/>
            <w:tcBorders>
              <w:top w:val="single" w:color="auto" w:sz="4" w:space="0"/>
              <w:left w:val="nil"/>
              <w:bottom w:val="single" w:color="auto" w:sz="4" w:space="0"/>
              <w:right w:val="single" w:color="auto" w:sz="4" w:space="0"/>
            </w:tcBorders>
            <w:vAlign w:val="center"/>
          </w:tcPr>
          <w:p w14:paraId="17B6F3FF">
            <w:pPr>
              <w:keepNext w:val="0"/>
              <w:keepLines w:val="0"/>
              <w:pageBreakBefore w:val="0"/>
              <w:kinsoku/>
              <w:wordWrap/>
              <w:topLinePunct w:val="0"/>
              <w:autoSpaceDE/>
              <w:autoSpaceDN/>
              <w:bidi w:val="0"/>
              <w:adjustRightInd/>
              <w:snapToGrid/>
              <w:spacing w:line="560" w:lineRule="exact"/>
              <w:ind w:left="0" w:leftChars="0"/>
              <w:jc w:val="center"/>
              <w:rPr>
                <w:rFonts w:ascii="仿宋_GB2312" w:hAnsi="宋体" w:eastAsia="仿宋_GB2312" w:cs="宋体"/>
                <w:color w:val="000000"/>
                <w:sz w:val="32"/>
                <w:szCs w:val="32"/>
              </w:rPr>
            </w:pPr>
          </w:p>
        </w:tc>
        <w:tc>
          <w:tcPr>
            <w:tcW w:w="240" w:type="dxa"/>
            <w:tcMar>
              <w:top w:w="0" w:type="dxa"/>
              <w:left w:w="0" w:type="dxa"/>
              <w:bottom w:w="0" w:type="dxa"/>
              <w:right w:w="0" w:type="dxa"/>
            </w:tcMar>
            <w:vAlign w:val="center"/>
          </w:tcPr>
          <w:p w14:paraId="734175CA">
            <w:pPr>
              <w:keepNext w:val="0"/>
              <w:keepLines w:val="0"/>
              <w:pageBreakBefore w:val="0"/>
              <w:kinsoku/>
              <w:wordWrap/>
              <w:topLinePunct w:val="0"/>
              <w:autoSpaceDE/>
              <w:autoSpaceDN/>
              <w:bidi w:val="0"/>
              <w:adjustRightInd/>
              <w:snapToGrid/>
              <w:spacing w:line="560" w:lineRule="exact"/>
              <w:ind w:left="0" w:leftChars="0"/>
              <w:rPr>
                <w:rFonts w:cs="宋体"/>
                <w:color w:val="000000"/>
              </w:rPr>
            </w:pPr>
            <w:r>
              <w:rPr>
                <w:rFonts w:hint="eastAsia" w:cs="宋体"/>
                <w:color w:val="000000"/>
              </w:rPr>
              <w:t> </w:t>
            </w:r>
          </w:p>
        </w:tc>
        <w:tc>
          <w:tcPr>
            <w:tcW w:w="480" w:type="dxa"/>
            <w:vAlign w:val="center"/>
          </w:tcPr>
          <w:p w14:paraId="746A9693">
            <w:pPr>
              <w:keepNext w:val="0"/>
              <w:keepLines w:val="0"/>
              <w:pageBreakBefore w:val="0"/>
              <w:widowControl/>
              <w:kinsoku/>
              <w:wordWrap/>
              <w:topLinePunct w:val="0"/>
              <w:autoSpaceDE/>
              <w:autoSpaceDN/>
              <w:bidi w:val="0"/>
              <w:adjustRightInd/>
              <w:snapToGrid/>
              <w:spacing w:line="560" w:lineRule="exact"/>
              <w:ind w:left="0" w:leftChars="0"/>
              <w:jc w:val="left"/>
              <w:rPr>
                <w:rFonts w:cs="宋体"/>
                <w:color w:val="000000"/>
                <w:kern w:val="0"/>
                <w:sz w:val="20"/>
                <w:szCs w:val="20"/>
              </w:rPr>
            </w:pPr>
          </w:p>
        </w:tc>
      </w:tr>
    </w:tbl>
    <w:p w14:paraId="5EA26A05">
      <w:pPr>
        <w:keepNext w:val="0"/>
        <w:keepLines w:val="0"/>
        <w:pageBreakBefore w:val="0"/>
        <w:kinsoku/>
        <w:wordWrap/>
        <w:topLinePunct w:val="0"/>
        <w:autoSpaceDE/>
        <w:autoSpaceDN/>
        <w:bidi w:val="0"/>
        <w:adjustRightInd/>
        <w:snapToGrid/>
        <w:spacing w:line="560" w:lineRule="exact"/>
        <w:ind w:left="0" w:leftChars="0"/>
        <w:jc w:val="left"/>
        <w:textAlignment w:val="baseline"/>
        <w:rPr>
          <w:rFonts w:ascii="仿宋_GB2312" w:hAnsi="宋体" w:eastAsia="仿宋_GB2312" w:cs="宋体"/>
          <w:sz w:val="32"/>
          <w:szCs w:val="32"/>
        </w:rPr>
      </w:pPr>
    </w:p>
    <w:p w14:paraId="16ADF7D9">
      <w:pPr>
        <w:keepNext w:val="0"/>
        <w:keepLines w:val="0"/>
        <w:pageBreakBefore w:val="0"/>
        <w:kinsoku/>
        <w:wordWrap/>
        <w:topLinePunct w:val="0"/>
        <w:autoSpaceDE/>
        <w:autoSpaceDN/>
        <w:bidi w:val="0"/>
        <w:adjustRightInd/>
        <w:snapToGrid/>
        <w:spacing w:line="560" w:lineRule="exact"/>
        <w:ind w:left="0" w:leftChars="0"/>
        <w:rPr>
          <w:rFonts w:ascii="仿宋" w:hAnsi="仿宋" w:eastAsia="仿宋" w:cs="黑体"/>
          <w:sz w:val="32"/>
          <w:szCs w:val="32"/>
        </w:rPr>
        <w:sectPr>
          <w:pgSz w:w="16838" w:h="11906" w:orient="landscape"/>
          <w:pgMar w:top="1588" w:right="1588" w:bottom="1588" w:left="1588" w:header="851" w:footer="992" w:gutter="0"/>
          <w:pgNumType w:fmt="numberInDash"/>
          <w:cols w:space="720" w:num="1"/>
          <w:docGrid w:type="lines" w:linePitch="312" w:charSpace="0"/>
        </w:sectPr>
      </w:pPr>
    </w:p>
    <w:p w14:paraId="0325F64A">
      <w:pPr>
        <w:keepNext w:val="0"/>
        <w:keepLines w:val="0"/>
        <w:pageBreakBefore w:val="0"/>
        <w:kinsoku/>
        <w:wordWrap/>
        <w:topLinePunct w:val="0"/>
        <w:autoSpaceDE/>
        <w:autoSpaceDN/>
        <w:bidi w:val="0"/>
        <w:adjustRightInd/>
        <w:snapToGrid/>
        <w:spacing w:line="560" w:lineRule="exact"/>
        <w:ind w:left="0" w:leftChars="0"/>
        <w:rPr>
          <w:rFonts w:ascii="仿宋" w:hAnsi="仿宋" w:eastAsia="仿宋" w:cs="黑体"/>
          <w:sz w:val="32"/>
          <w:szCs w:val="32"/>
        </w:rPr>
      </w:pPr>
      <w:r>
        <w:rPr>
          <w:rFonts w:hint="eastAsia" w:ascii="黑体" w:hAnsi="黑体" w:eastAsia="黑体" w:cs="华文中宋"/>
          <w:sz w:val="32"/>
          <w:szCs w:val="32"/>
        </w:rPr>
        <w:t>附件3</w:t>
      </w:r>
    </w:p>
    <w:p w14:paraId="33B596F7">
      <w:pPr>
        <w:keepNext w:val="0"/>
        <w:keepLines w:val="0"/>
        <w:pageBreakBefore w:val="0"/>
        <w:kinsoku/>
        <w:wordWrap/>
        <w:topLinePunct w:val="0"/>
        <w:autoSpaceDE/>
        <w:autoSpaceDN/>
        <w:bidi w:val="0"/>
        <w:adjustRightInd/>
        <w:snapToGrid/>
        <w:spacing w:line="560" w:lineRule="exact"/>
        <w:jc w:val="center"/>
        <w:rPr>
          <w:rFonts w:ascii="黑体" w:hAnsi="黑体" w:eastAsia="黑体" w:cs="华文中宋"/>
          <w:sz w:val="44"/>
          <w:szCs w:val="44"/>
        </w:rPr>
      </w:pPr>
      <w:r>
        <w:rPr>
          <w:rFonts w:hint="eastAsia" w:ascii="方正小标宋简体" w:hAnsi="方正小标宋简体" w:eastAsia="方正小标宋简体" w:cs="方正小标宋简体"/>
          <w:sz w:val="44"/>
          <w:szCs w:val="44"/>
        </w:rPr>
        <w:t>“安全生产月”活动进展情况统计表</w:t>
      </w:r>
    </w:p>
    <w:p w14:paraId="48F3E3D3">
      <w:pPr>
        <w:pStyle w:val="2"/>
        <w:keepNext w:val="0"/>
        <w:keepLines w:val="0"/>
        <w:pageBreakBefore w:val="0"/>
        <w:kinsoku/>
        <w:wordWrap/>
        <w:topLinePunct w:val="0"/>
        <w:autoSpaceDE/>
        <w:autoSpaceDN/>
        <w:bidi w:val="0"/>
        <w:adjustRightInd/>
        <w:snapToGrid/>
        <w:spacing w:line="560" w:lineRule="exact"/>
        <w:ind w:left="0" w:leftChars="0"/>
      </w:pPr>
    </w:p>
    <w:p w14:paraId="42877A9C">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rPr>
          <w:rFonts w:ascii="仿宋" w:hAnsi="仿宋" w:eastAsia="仿宋"/>
          <w:sz w:val="32"/>
          <w:szCs w:val="32"/>
          <w:u w:val="single"/>
        </w:rPr>
      </w:pPr>
      <w:r>
        <w:rPr>
          <w:rFonts w:hint="eastAsia" w:ascii="仿宋_GB2312" w:hAnsi="仿宋" w:eastAsia="仿宋_GB2312" w:cs="Times New Roman"/>
          <w:kern w:val="2"/>
          <w:sz w:val="32"/>
          <w:szCs w:val="32"/>
          <w:lang w:val="en-US" w:eastAsia="zh-CN" w:bidi="ar-SA"/>
        </w:rPr>
        <w:t xml:space="preserve">填报单位（盖章）：          联系人：        电话：        　　   填报日期：             </w:t>
      </w:r>
      <w:r>
        <w:rPr>
          <w:rFonts w:hint="eastAsia" w:ascii="仿宋" w:hAnsi="仿宋" w:eastAsia="仿宋"/>
          <w:sz w:val="32"/>
          <w:szCs w:val="32"/>
          <w:u w:val="single"/>
        </w:rPr>
        <w:t>　</w:t>
      </w:r>
    </w:p>
    <w:tbl>
      <w:tblPr>
        <w:tblStyle w:val="14"/>
        <w:tblW w:w="13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5"/>
        <w:gridCol w:w="9526"/>
      </w:tblGrid>
      <w:tr w14:paraId="2B5CD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blHeader/>
          <w:jc w:val="center"/>
        </w:trPr>
        <w:tc>
          <w:tcPr>
            <w:tcW w:w="4325" w:type="dxa"/>
            <w:tcBorders>
              <w:top w:val="single" w:color="auto" w:sz="4" w:space="0"/>
              <w:left w:val="single" w:color="auto" w:sz="4" w:space="0"/>
              <w:bottom w:val="single" w:color="auto" w:sz="4" w:space="0"/>
              <w:right w:val="single" w:color="auto" w:sz="4" w:space="0"/>
            </w:tcBorders>
            <w:vAlign w:val="center"/>
          </w:tcPr>
          <w:p w14:paraId="56F7A39D">
            <w:pPr>
              <w:pStyle w:val="2"/>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firstLine="8" w:firstLineChars="0"/>
              <w:jc w:val="center"/>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活动项目</w:t>
            </w:r>
          </w:p>
        </w:tc>
        <w:tc>
          <w:tcPr>
            <w:tcW w:w="9526" w:type="dxa"/>
            <w:tcBorders>
              <w:top w:val="single" w:color="auto" w:sz="4" w:space="0"/>
              <w:left w:val="nil"/>
              <w:bottom w:val="single" w:color="auto" w:sz="4" w:space="0"/>
              <w:right w:val="single" w:color="auto" w:sz="4" w:space="0"/>
            </w:tcBorders>
            <w:vAlign w:val="center"/>
          </w:tcPr>
          <w:p w14:paraId="2418CAEF">
            <w:pPr>
              <w:pStyle w:val="2"/>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firstLine="8" w:firstLineChars="0"/>
              <w:jc w:val="center"/>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活动进展情况</w:t>
            </w:r>
          </w:p>
        </w:tc>
      </w:tr>
      <w:tr w14:paraId="1C97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4325" w:type="dxa"/>
            <w:tcBorders>
              <w:top w:val="single" w:color="auto" w:sz="4" w:space="0"/>
              <w:left w:val="single" w:color="auto" w:sz="4" w:space="0"/>
              <w:bottom w:val="single" w:color="auto" w:sz="4" w:space="0"/>
              <w:right w:val="single" w:color="auto" w:sz="4" w:space="0"/>
            </w:tcBorders>
            <w:vAlign w:val="center"/>
          </w:tcPr>
          <w:p w14:paraId="1536D1C8">
            <w:pPr>
              <w:pStyle w:val="2"/>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firstLine="0" w:firstLine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1.开展习近平总书记关于安全生产重要论述宣贯活动</w:t>
            </w:r>
          </w:p>
        </w:tc>
        <w:tc>
          <w:tcPr>
            <w:tcW w:w="9526" w:type="dxa"/>
            <w:tcBorders>
              <w:top w:val="single" w:color="auto" w:sz="4" w:space="0"/>
              <w:left w:val="nil"/>
              <w:bottom w:val="single" w:color="auto" w:sz="4" w:space="0"/>
              <w:right w:val="single" w:color="auto" w:sz="4" w:space="0"/>
            </w:tcBorders>
            <w:vAlign w:val="center"/>
          </w:tcPr>
          <w:p w14:paraId="5E806DE9">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组织开展宣讲活动（  ）场，参与（  ）人次；</w:t>
            </w:r>
          </w:p>
          <w:p w14:paraId="076E6E1C">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发表评论文章或心得体会（  ）篇；</w:t>
            </w:r>
          </w:p>
          <w:p w14:paraId="50E08E05">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组织开展“安全生产大家谈”“班前会”“以案说法”等活动（  ）场，参与（  ）人次。</w:t>
            </w:r>
          </w:p>
        </w:tc>
      </w:tr>
      <w:tr w14:paraId="0F98C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4325" w:type="dxa"/>
            <w:tcBorders>
              <w:top w:val="single" w:color="auto" w:sz="4" w:space="0"/>
              <w:left w:val="single" w:color="auto" w:sz="4" w:space="0"/>
              <w:bottom w:val="single" w:color="auto" w:sz="4" w:space="0"/>
              <w:right w:val="single" w:color="auto" w:sz="4" w:space="0"/>
            </w:tcBorders>
            <w:vAlign w:val="center"/>
          </w:tcPr>
          <w:p w14:paraId="5FF32230">
            <w:pPr>
              <w:pStyle w:val="2"/>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hanging="6" w:firstLine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2.着眼于“人人讲安全、个个会应急”，大力推动安全宣传“五进”</w:t>
            </w:r>
          </w:p>
        </w:tc>
        <w:tc>
          <w:tcPr>
            <w:tcW w:w="9526" w:type="dxa"/>
            <w:tcBorders>
              <w:top w:val="single" w:color="auto" w:sz="4" w:space="0"/>
              <w:left w:val="nil"/>
              <w:bottom w:val="single" w:color="auto" w:sz="4" w:space="0"/>
              <w:right w:val="single" w:color="auto" w:sz="4" w:space="0"/>
            </w:tcBorders>
            <w:vAlign w:val="center"/>
          </w:tcPr>
          <w:p w14:paraId="6B971F72">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参与“人人讲安全  个个会应急”网络知识竞赛（  ）人，答题（  ）人次；</w:t>
            </w:r>
          </w:p>
          <w:p w14:paraId="30B82D5B">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参加线上“逃生演练训练营”活动发布视频（  ）个。</w:t>
            </w:r>
          </w:p>
          <w:p w14:paraId="22949C20">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组织观看安全生产警示教育片、专题展（ ）场,参与（ ）人次。</w:t>
            </w:r>
          </w:p>
        </w:tc>
      </w:tr>
      <w:tr w14:paraId="041B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4325" w:type="dxa"/>
            <w:tcBorders>
              <w:top w:val="single" w:color="auto" w:sz="4" w:space="0"/>
              <w:left w:val="single" w:color="auto" w:sz="4" w:space="0"/>
              <w:bottom w:val="single" w:color="auto" w:sz="4" w:space="0"/>
              <w:right w:val="single" w:color="auto" w:sz="4" w:space="0"/>
            </w:tcBorders>
            <w:vAlign w:val="center"/>
          </w:tcPr>
          <w:p w14:paraId="29B0094D">
            <w:pPr>
              <w:pStyle w:val="2"/>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hanging="6" w:firstLine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4.发挥媒体监督和社会监督作用，开展全员查找身边隐患宣传活动</w:t>
            </w:r>
          </w:p>
        </w:tc>
        <w:tc>
          <w:tcPr>
            <w:tcW w:w="9526" w:type="dxa"/>
            <w:tcBorders>
              <w:top w:val="single" w:color="auto" w:sz="4" w:space="0"/>
              <w:left w:val="nil"/>
              <w:bottom w:val="single" w:color="auto" w:sz="4" w:space="0"/>
              <w:right w:val="single" w:color="auto" w:sz="4" w:space="0"/>
            </w:tcBorders>
            <w:vAlign w:val="center"/>
          </w:tcPr>
          <w:p w14:paraId="7E57B2D1">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曝光重大事故隐患和突出问题（  ）个；</w:t>
            </w:r>
          </w:p>
          <w:p w14:paraId="04017BBB">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在省级以上主流媒体公布“一案双罚”典型案例（  ）个，安全生产行刑衔接（含危险作业罪）等各类典型案例（  ）个。</w:t>
            </w:r>
          </w:p>
        </w:tc>
      </w:tr>
      <w:tr w14:paraId="36E6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4325" w:type="dxa"/>
            <w:tcBorders>
              <w:top w:val="single" w:color="auto" w:sz="4" w:space="0"/>
              <w:left w:val="single" w:color="auto" w:sz="4" w:space="0"/>
              <w:bottom w:val="single" w:color="auto" w:sz="4" w:space="0"/>
              <w:right w:val="single" w:color="auto" w:sz="4" w:space="0"/>
            </w:tcBorders>
            <w:vAlign w:val="center"/>
          </w:tcPr>
          <w:p w14:paraId="1B94C4B4">
            <w:pPr>
              <w:pStyle w:val="2"/>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hanging="6" w:firstLine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5.坚持全民参与，组织开展应急演练活动</w:t>
            </w:r>
          </w:p>
        </w:tc>
        <w:tc>
          <w:tcPr>
            <w:tcW w:w="9526" w:type="dxa"/>
            <w:tcBorders>
              <w:top w:val="single" w:color="auto" w:sz="4" w:space="0"/>
              <w:left w:val="nil"/>
              <w:bottom w:val="single" w:color="auto" w:sz="4" w:space="0"/>
              <w:right w:val="single" w:color="auto" w:sz="4" w:space="0"/>
            </w:tcBorders>
            <w:vAlign w:val="center"/>
          </w:tcPr>
          <w:p w14:paraId="1C8D46E9">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企业组织事故应急演练（  ）场，参与（  ）人次，开展从业人员自救互救技能培训（  ）场，参与（  ）人次；</w:t>
            </w:r>
          </w:p>
        </w:tc>
      </w:tr>
      <w:tr w14:paraId="6746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4325" w:type="dxa"/>
            <w:tcBorders>
              <w:top w:val="single" w:color="auto" w:sz="4" w:space="0"/>
              <w:left w:val="single" w:color="auto" w:sz="4" w:space="0"/>
              <w:bottom w:val="single" w:color="auto" w:sz="4" w:space="0"/>
              <w:right w:val="single" w:color="auto" w:sz="4" w:space="0"/>
            </w:tcBorders>
            <w:vAlign w:val="center"/>
          </w:tcPr>
          <w:p w14:paraId="3E688B3B">
            <w:pPr>
              <w:pStyle w:val="2"/>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hanging="6" w:firstLine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6.充分发挥地域特色，组织开展“安全宣传咨询日”活动</w:t>
            </w:r>
          </w:p>
        </w:tc>
        <w:tc>
          <w:tcPr>
            <w:tcW w:w="9526" w:type="dxa"/>
            <w:tcBorders>
              <w:top w:val="single" w:color="auto" w:sz="4" w:space="0"/>
              <w:left w:val="nil"/>
              <w:bottom w:val="single" w:color="auto" w:sz="4" w:space="0"/>
              <w:right w:val="single" w:color="auto" w:sz="4" w:space="0"/>
            </w:tcBorders>
            <w:vAlign w:val="center"/>
          </w:tcPr>
          <w:p w14:paraId="534E7456">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组织开展“安全宣传咨询日”现场活 动（  ）场、参与（  ）人次，网络直播（  ）场、（  ）人观看。</w:t>
            </w:r>
          </w:p>
        </w:tc>
      </w:tr>
      <w:tr w14:paraId="1C50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325" w:type="dxa"/>
            <w:tcBorders>
              <w:top w:val="single" w:color="auto" w:sz="4" w:space="0"/>
              <w:left w:val="single" w:color="auto" w:sz="4" w:space="0"/>
              <w:bottom w:val="single" w:color="auto" w:sz="4" w:space="0"/>
              <w:right w:val="single" w:color="auto" w:sz="4" w:space="0"/>
            </w:tcBorders>
            <w:vAlign w:val="center"/>
          </w:tcPr>
          <w:p w14:paraId="33B8AEEE">
            <w:pPr>
              <w:pStyle w:val="2"/>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hanging="6" w:firstLine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7.其他特色活动</w:t>
            </w:r>
          </w:p>
        </w:tc>
        <w:tc>
          <w:tcPr>
            <w:tcW w:w="9526" w:type="dxa"/>
            <w:tcBorders>
              <w:top w:val="single" w:color="auto" w:sz="4" w:space="0"/>
              <w:left w:val="nil"/>
              <w:bottom w:val="single" w:color="auto" w:sz="4" w:space="0"/>
              <w:right w:val="single" w:color="auto" w:sz="4" w:space="0"/>
            </w:tcBorders>
            <w:vAlign w:val="center"/>
          </w:tcPr>
          <w:p w14:paraId="6563AA35">
            <w:pPr>
              <w:keepNext w:val="0"/>
              <w:keepLines w:val="0"/>
              <w:pageBreakBefore w:val="0"/>
              <w:pBdr>
                <w:top w:val="none" w:color="auto" w:sz="0" w:space="1"/>
                <w:left w:val="none" w:color="auto" w:sz="0" w:space="4"/>
                <w:bottom w:val="none" w:color="auto" w:sz="0" w:space="1"/>
                <w:right w:val="none" w:color="auto" w:sz="0" w:space="4"/>
              </w:pBdr>
              <w:kinsoku/>
              <w:wordWrap/>
              <w:topLinePunct w:val="0"/>
              <w:autoSpaceDE/>
              <w:autoSpaceDN/>
              <w:bidi w:val="0"/>
              <w:adjustRightInd/>
              <w:snapToGrid/>
              <w:spacing w:line="560" w:lineRule="exact"/>
              <w:ind w:left="0" w:leftChars="0"/>
              <w:rPr>
                <w:rFonts w:hint="eastAsia" w:ascii="仿宋_GB2312" w:hAnsi="仿宋" w:eastAsia="仿宋_GB2312" w:cs="Times New Roman"/>
                <w:kern w:val="2"/>
                <w:sz w:val="32"/>
                <w:szCs w:val="32"/>
                <w:lang w:val="en-US" w:eastAsia="zh-CN" w:bidi="ar-SA"/>
              </w:rPr>
            </w:pPr>
            <w:r>
              <w:rPr>
                <w:rFonts w:hint="eastAsia" w:ascii="仿宋_GB2312" w:hAnsi="仿宋" w:eastAsia="仿宋_GB2312" w:cs="Times New Roman"/>
                <w:kern w:val="2"/>
                <w:sz w:val="32"/>
                <w:szCs w:val="32"/>
                <w:lang w:val="en-US" w:eastAsia="zh-CN" w:bidi="ar-SA"/>
              </w:rPr>
              <w:t>活动名称（          ），组织（  ）场/次，参与（  ）人次。</w:t>
            </w:r>
          </w:p>
        </w:tc>
      </w:tr>
    </w:tbl>
    <w:p w14:paraId="3F1DF4BE">
      <w:pPr>
        <w:keepNext w:val="0"/>
        <w:keepLines w:val="0"/>
        <w:pageBreakBefore w:val="0"/>
        <w:kinsoku/>
        <w:wordWrap/>
        <w:topLinePunct w:val="0"/>
        <w:autoSpaceDE/>
        <w:autoSpaceDN/>
        <w:bidi w:val="0"/>
        <w:adjustRightInd/>
        <w:snapToGrid/>
        <w:spacing w:line="560" w:lineRule="exact"/>
        <w:ind w:left="0" w:leftChars="0"/>
        <w:rPr>
          <w:rFonts w:ascii="仿宋" w:hAnsi="仿宋" w:eastAsia="仿宋" w:cs="黑体"/>
          <w:sz w:val="32"/>
          <w:szCs w:val="32"/>
        </w:rPr>
      </w:pPr>
      <w:r>
        <w:rPr>
          <w:rFonts w:hint="eastAsia" w:ascii="仿宋" w:hAnsi="仿宋" w:eastAsia="仿宋"/>
          <w:sz w:val="32"/>
          <w:szCs w:val="32"/>
        </w:rPr>
        <w:t>注：此表填报数据为“安全生产月”期间累计统计数</w:t>
      </w:r>
    </w:p>
    <w:p w14:paraId="22F084AA">
      <w:pPr>
        <w:pStyle w:val="12"/>
        <w:keepNext w:val="0"/>
        <w:keepLines w:val="0"/>
        <w:pageBreakBefore w:val="0"/>
        <w:widowControl/>
        <w:kinsoku/>
        <w:wordWrap/>
        <w:topLinePunct w:val="0"/>
        <w:autoSpaceDE/>
        <w:autoSpaceDN/>
        <w:bidi w:val="0"/>
        <w:adjustRightInd/>
        <w:snapToGrid/>
        <w:spacing w:before="0" w:beforeAutospacing="0" w:after="0" w:afterAutospacing="0" w:line="560" w:lineRule="exact"/>
        <w:ind w:left="0" w:leftChars="0"/>
        <w:rPr>
          <w:rFonts w:hint="eastAsia" w:ascii="仿宋_GB2312" w:hAnsi="宋体" w:eastAsia="仿宋_GB2312"/>
          <w:color w:val="000000"/>
          <w:u w:val="single"/>
        </w:rPr>
      </w:pPr>
    </w:p>
    <w:sectPr>
      <w:headerReference r:id="rId6" w:type="first"/>
      <w:headerReference r:id="rId4" w:type="default"/>
      <w:headerReference r:id="rId5" w:type="even"/>
      <w:pgSz w:w="16838" w:h="11906" w:orient="landscape"/>
      <w:pgMar w:top="1797" w:right="1440" w:bottom="1797" w:left="1440" w:header="851" w:footer="992" w:gutter="0"/>
      <w:pgNumType w:fmt="numberIn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39B2F">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7E3621">
                          <w:pPr>
                            <w:pStyle w:val="10"/>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- 2 -</w:t>
                          </w:r>
                          <w:r>
                            <w:rPr>
                              <w:rFonts w:hint="eastAsia" w:ascii="宋体" w:hAnsi="宋体" w:cs="宋体"/>
                              <w:sz w:val="24"/>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Pwn/8kBAACZAwAADgAAAGRycy9lMm9Eb2MueG1srVPNjtMwEL4j8Q6W&#10;79Rpk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I6&#10;29MHqLHrIWBfGu78kFunPGAyqx5UtPmNegjW0dzz1Vw5JCLyR+vVel1hSWBtPiAOe/w8REhvpbck&#10;Bw2NeHvFVH56D2lsnVvyNOfvtTGY57VxfyUQM2dY5j5yzFEa9sNEfO/bM+rp8eIb6nDPKTHvHPqa&#10;d2QO4hzs5+AYoj50SG1ZeEG4PSYkUbjlCSPsNBhvrKibtiuvxJ/n0vX4R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Y/Cf/yQEAAJkDAAAOAAAAAAAAAAEAIAAAAB4BAABkcnMvZTJvRG9j&#10;LnhtbFBLBQYAAAAABgAGAFkBAABZBQAAAAA=&#10;">
              <v:fill on="f" focussize="0,0"/>
              <v:stroke on="f"/>
              <v:imagedata o:title=""/>
              <o:lock v:ext="edit" aspectratio="f"/>
              <v:textbox inset="0mm,0mm,0mm,0mm" style="mso-fit-shape-to-text:t;">
                <w:txbxContent>
                  <w:p w14:paraId="317E3621">
                    <w:pPr>
                      <w:pStyle w:val="10"/>
                      <w:rPr>
                        <w:rFonts w:ascii="宋体" w:hAnsi="宋体" w:cs="宋体"/>
                        <w:sz w:val="24"/>
                      </w:rPr>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ascii="宋体" w:hAnsi="宋体" w:cs="宋体"/>
                        <w:sz w:val="24"/>
                      </w:rPr>
                      <w:t>- 2 -</w:t>
                    </w:r>
                    <w:r>
                      <w:rPr>
                        <w:rFonts w:hint="eastAsia" w:ascii="宋体" w:hAnsi="宋体" w:cs="宋体"/>
                        <w:sz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19449">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61EC1">
    <w:r>
      <w:pict>
        <v:shape id="_x0000_s4100" o:spid="_x0000_s4100" o:spt="136" type="#_x0000_t136" style="position:absolute;left:0pt;margin-top:0pt;height:20pt;width:120pt;mso-position-horizontal:center;mso-position-horizontal-relative:margin;mso-position-vertical-relative:margin;rotation:-2621440f;z-index:251659264;mso-width-relative:page;mso-height-relative:page;" fillcolor="#696969" filled="t" stroked="t" coordsize="21600,21600">
          <v:path/>
          <v:fill on="t" opacity="13107f" focussize="0,0"/>
          <v:stroke color="#696969" opacity="19661f"/>
          <v:imagedata o:title=""/>
          <o:lock v:ext="edit"/>
          <v:textpath on="t" fitshape="t" fitpath="t" trim="f" xscale="f" string="安全生产监督管理科-王开海" style="font-family:Arial;font-size:36pt;v-text-align:center;"/>
        </v:shape>
      </w:pict>
    </w:r>
    <w:r>
      <w:pict>
        <v:shape id="_x0000_s4101" o:spid="_x0000_s4101" o:spt="136" type="#_x0000_t136" style="position:absolute;left:0pt;height:20pt;width:120pt;mso-position-horizontal:center;mso-position-horizontal-relative:page;mso-position-vertical:center;mso-position-vertical-relative:page;rotation:-2621440f;z-index:251659264;mso-width-relative:page;mso-height-relative:page;" fillcolor="#696969" filled="t" stroked="t" coordsize="21600,21600">
          <v:path/>
          <v:fill on="t" opacity="13107f" focussize="0,0"/>
          <v:stroke color="#696969" opacity="19661f"/>
          <v:imagedata o:title=""/>
          <o:lock v:ext="edit"/>
          <v:textpath on="t" fitshape="t" fitpath="t" trim="f" xscale="f" string="安全生产监督管理科-王开海" style="font-family:Arial;font-size:36pt;v-text-align:center;"/>
        </v:shape>
      </w:pict>
    </w:r>
    <w:r>
      <w:pict>
        <v:shape id="_x0000_s4102" o:spid="_x0000_s4102" o:spt="136" type="#_x0000_t136" style="position:absolute;left:0pt;margin-top:480pt;height:20pt;width:120pt;mso-position-horizontal:center;mso-position-horizontal-relative:margin;mso-position-vertical-relative:margin;rotation:-2621440f;z-index:251659264;mso-width-relative:page;mso-height-relative:page;" fillcolor="#696969" filled="t" stroked="t" coordsize="21600,21600">
          <v:path/>
          <v:fill on="t" opacity="13107f" focussize="0,0"/>
          <v:stroke color="#696969" opacity="19661f"/>
          <v:imagedata o:title=""/>
          <o:lock v:ext="edit"/>
          <v:textpath on="t" fitshape="t" fitpath="t" trim="f" xscale="f" string="安全生产监督管理科-王开海" style="font-family:Arial;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D8D08">
    <w:r>
      <w:pict>
        <v:shape id="_x0000_s4097" o:spid="_x0000_s4097" o:spt="136" type="#_x0000_t136" style="position:absolute;left:0pt;margin-top:0pt;height:20pt;width:120pt;mso-position-horizontal:center;mso-position-horizontal-relative:margin;mso-position-vertical-relative:margin;rotation:-2621440f;z-index:251659264;mso-width-relative:page;mso-height-relative:page;" fillcolor="#696969" filled="t" stroked="t" coordsize="21600,21600">
          <v:path/>
          <v:fill on="t" opacity="13107f" focussize="0,0"/>
          <v:stroke color="#696969" opacity="19661f"/>
          <v:imagedata o:title=""/>
          <o:lock v:ext="edit"/>
          <v:textpath on="t" fitshape="t" fitpath="t" trim="f" xscale="f" string="安全生产监督管理科-王开海" style="font-family:Arial;font-size:36pt;v-text-align:center;"/>
        </v:shape>
      </w:pict>
    </w:r>
    <w:r>
      <w:pict>
        <v:shape id="_x0000_s4098" o:spid="_x0000_s4098" o:spt="136" type="#_x0000_t136" style="position:absolute;left:0pt;height:20pt;width:120pt;mso-position-horizontal:center;mso-position-horizontal-relative:page;mso-position-vertical:center;mso-position-vertical-relative:page;rotation:-2621440f;z-index:251659264;mso-width-relative:page;mso-height-relative:page;" fillcolor="#696969" filled="t" stroked="t" coordsize="21600,21600">
          <v:path/>
          <v:fill on="t" opacity="13107f" focussize="0,0"/>
          <v:stroke color="#696969" opacity="19661f"/>
          <v:imagedata o:title=""/>
          <o:lock v:ext="edit"/>
          <v:textpath on="t" fitshape="t" fitpath="t" trim="f" xscale="f" string="安全生产监督管理科-王开海" style="font-family:Arial;font-size:36pt;v-text-align:center;"/>
        </v:shape>
      </w:pict>
    </w:r>
    <w:r>
      <w:pict>
        <v:shape id="_x0000_s4099" o:spid="_x0000_s4099" o:spt="136" type="#_x0000_t136" style="position:absolute;left:0pt;margin-top:480pt;height:20pt;width:120pt;mso-position-horizontal:center;mso-position-horizontal-relative:margin;mso-position-vertical-relative:margin;rotation:-2621440f;z-index:251659264;mso-width-relative:page;mso-height-relative:page;" fillcolor="#696969" filled="t" stroked="t" coordsize="21600,21600">
          <v:path/>
          <v:fill on="t" opacity="13107f" focussize="0,0"/>
          <v:stroke color="#696969" opacity="19661f"/>
          <v:imagedata o:title=""/>
          <o:lock v:ext="edit"/>
          <v:textpath on="t" fitshape="t" fitpath="t" trim="f" xscale="f" string="安全生产监督管理科-王开海" style="font-family:Arial;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2MDlkMmZhZjM4MGQwM2YyYTUzMjA3ZmRiMDA5OWUifQ=="/>
  </w:docVars>
  <w:rsids>
    <w:rsidRoot w:val="00172A27"/>
    <w:rsid w:val="001152CD"/>
    <w:rsid w:val="00172A27"/>
    <w:rsid w:val="0030000F"/>
    <w:rsid w:val="005919BA"/>
    <w:rsid w:val="007929C0"/>
    <w:rsid w:val="00800879"/>
    <w:rsid w:val="00830DAC"/>
    <w:rsid w:val="008C43C5"/>
    <w:rsid w:val="009E6687"/>
    <w:rsid w:val="00A24D8D"/>
    <w:rsid w:val="00BF0F5A"/>
    <w:rsid w:val="00C90384"/>
    <w:rsid w:val="00D564C4"/>
    <w:rsid w:val="00D739D4"/>
    <w:rsid w:val="00E219A8"/>
    <w:rsid w:val="00E57B23"/>
    <w:rsid w:val="01333D74"/>
    <w:rsid w:val="016C15F8"/>
    <w:rsid w:val="02092C94"/>
    <w:rsid w:val="024D4A7D"/>
    <w:rsid w:val="02740CB7"/>
    <w:rsid w:val="027B0D8F"/>
    <w:rsid w:val="02C67F0F"/>
    <w:rsid w:val="030E3A1C"/>
    <w:rsid w:val="032F12D9"/>
    <w:rsid w:val="036516AF"/>
    <w:rsid w:val="0397788B"/>
    <w:rsid w:val="04A42800"/>
    <w:rsid w:val="04CF39ED"/>
    <w:rsid w:val="05554461"/>
    <w:rsid w:val="05CA3C41"/>
    <w:rsid w:val="05D252BA"/>
    <w:rsid w:val="065609E8"/>
    <w:rsid w:val="076B1CFB"/>
    <w:rsid w:val="07A322DC"/>
    <w:rsid w:val="07DA47D5"/>
    <w:rsid w:val="08FC6094"/>
    <w:rsid w:val="0956439C"/>
    <w:rsid w:val="09B16EAB"/>
    <w:rsid w:val="09DB49AA"/>
    <w:rsid w:val="09E33DCA"/>
    <w:rsid w:val="0A3C0E99"/>
    <w:rsid w:val="0AD75E95"/>
    <w:rsid w:val="0AE93662"/>
    <w:rsid w:val="0B0F734A"/>
    <w:rsid w:val="0B3202ED"/>
    <w:rsid w:val="0C1D6CDF"/>
    <w:rsid w:val="0DEF71E2"/>
    <w:rsid w:val="0E0D527F"/>
    <w:rsid w:val="0E323111"/>
    <w:rsid w:val="0E4F0A69"/>
    <w:rsid w:val="0F47364E"/>
    <w:rsid w:val="0FA027C1"/>
    <w:rsid w:val="102315B1"/>
    <w:rsid w:val="10603FA8"/>
    <w:rsid w:val="10B411BA"/>
    <w:rsid w:val="10FD111A"/>
    <w:rsid w:val="125A208F"/>
    <w:rsid w:val="12891395"/>
    <w:rsid w:val="1320172C"/>
    <w:rsid w:val="139C352F"/>
    <w:rsid w:val="14611E27"/>
    <w:rsid w:val="14BC5D50"/>
    <w:rsid w:val="15244910"/>
    <w:rsid w:val="15BA596A"/>
    <w:rsid w:val="15D0050A"/>
    <w:rsid w:val="162163A6"/>
    <w:rsid w:val="16CC508A"/>
    <w:rsid w:val="170D08E0"/>
    <w:rsid w:val="173B5246"/>
    <w:rsid w:val="17944956"/>
    <w:rsid w:val="184B2BC3"/>
    <w:rsid w:val="18DE232D"/>
    <w:rsid w:val="1915422A"/>
    <w:rsid w:val="1934607E"/>
    <w:rsid w:val="19573968"/>
    <w:rsid w:val="195D55E9"/>
    <w:rsid w:val="197A7773"/>
    <w:rsid w:val="1A254EE5"/>
    <w:rsid w:val="1A773B20"/>
    <w:rsid w:val="1ACF3FAD"/>
    <w:rsid w:val="1AD22EC4"/>
    <w:rsid w:val="1CD852E5"/>
    <w:rsid w:val="1CE6377D"/>
    <w:rsid w:val="1D321938"/>
    <w:rsid w:val="1D425B85"/>
    <w:rsid w:val="1D9C6374"/>
    <w:rsid w:val="1E4B48CD"/>
    <w:rsid w:val="1E5B36A3"/>
    <w:rsid w:val="1E72329F"/>
    <w:rsid w:val="1EDD6BE3"/>
    <w:rsid w:val="1F9B4A39"/>
    <w:rsid w:val="1F9E45C4"/>
    <w:rsid w:val="20B529D7"/>
    <w:rsid w:val="20EA0C83"/>
    <w:rsid w:val="213A160E"/>
    <w:rsid w:val="217741AC"/>
    <w:rsid w:val="21832836"/>
    <w:rsid w:val="21B568CB"/>
    <w:rsid w:val="221548E5"/>
    <w:rsid w:val="221E251D"/>
    <w:rsid w:val="22460F43"/>
    <w:rsid w:val="22C81958"/>
    <w:rsid w:val="22CF7E52"/>
    <w:rsid w:val="22E91B93"/>
    <w:rsid w:val="22EB114A"/>
    <w:rsid w:val="23244B1E"/>
    <w:rsid w:val="23A91125"/>
    <w:rsid w:val="24AC060E"/>
    <w:rsid w:val="24F443F5"/>
    <w:rsid w:val="25290DD3"/>
    <w:rsid w:val="256A7E77"/>
    <w:rsid w:val="258B5ED1"/>
    <w:rsid w:val="26CC5449"/>
    <w:rsid w:val="273E7A4F"/>
    <w:rsid w:val="27E32687"/>
    <w:rsid w:val="27FD734A"/>
    <w:rsid w:val="292E26F6"/>
    <w:rsid w:val="29576BE5"/>
    <w:rsid w:val="296D29DB"/>
    <w:rsid w:val="29D33DC1"/>
    <w:rsid w:val="2A885E25"/>
    <w:rsid w:val="2AEE58D0"/>
    <w:rsid w:val="2B213D29"/>
    <w:rsid w:val="2B6633A8"/>
    <w:rsid w:val="2B801657"/>
    <w:rsid w:val="2BE64880"/>
    <w:rsid w:val="2C9E1327"/>
    <w:rsid w:val="2D524C40"/>
    <w:rsid w:val="2D98281A"/>
    <w:rsid w:val="30AC28B9"/>
    <w:rsid w:val="31724332"/>
    <w:rsid w:val="31ED59CC"/>
    <w:rsid w:val="33BA52ED"/>
    <w:rsid w:val="34232D2D"/>
    <w:rsid w:val="34DF14AF"/>
    <w:rsid w:val="357A1BEC"/>
    <w:rsid w:val="358F61E4"/>
    <w:rsid w:val="35CE52DA"/>
    <w:rsid w:val="36041882"/>
    <w:rsid w:val="364062BA"/>
    <w:rsid w:val="36784B18"/>
    <w:rsid w:val="37F422A3"/>
    <w:rsid w:val="38895CD0"/>
    <w:rsid w:val="38E64621"/>
    <w:rsid w:val="39313B69"/>
    <w:rsid w:val="39533276"/>
    <w:rsid w:val="395C7816"/>
    <w:rsid w:val="3990108C"/>
    <w:rsid w:val="39B0020C"/>
    <w:rsid w:val="39D54C2E"/>
    <w:rsid w:val="39D704C2"/>
    <w:rsid w:val="3A245A73"/>
    <w:rsid w:val="3AE1578F"/>
    <w:rsid w:val="3B2B5034"/>
    <w:rsid w:val="3B413A80"/>
    <w:rsid w:val="3B6B39AF"/>
    <w:rsid w:val="3B80036E"/>
    <w:rsid w:val="3C7368B1"/>
    <w:rsid w:val="3D0042BC"/>
    <w:rsid w:val="3D675B5B"/>
    <w:rsid w:val="3E6F33E3"/>
    <w:rsid w:val="3EB20D63"/>
    <w:rsid w:val="3F0D372E"/>
    <w:rsid w:val="3F101512"/>
    <w:rsid w:val="3F525A78"/>
    <w:rsid w:val="3F5E6BF1"/>
    <w:rsid w:val="3FBC603A"/>
    <w:rsid w:val="401D2496"/>
    <w:rsid w:val="417029C6"/>
    <w:rsid w:val="418D69D4"/>
    <w:rsid w:val="41AD5EB5"/>
    <w:rsid w:val="42334883"/>
    <w:rsid w:val="437106F1"/>
    <w:rsid w:val="43E2262C"/>
    <w:rsid w:val="465861FD"/>
    <w:rsid w:val="468B4087"/>
    <w:rsid w:val="46954A40"/>
    <w:rsid w:val="46EB0C0B"/>
    <w:rsid w:val="478419A7"/>
    <w:rsid w:val="48050495"/>
    <w:rsid w:val="488F6235"/>
    <w:rsid w:val="48F43CBB"/>
    <w:rsid w:val="492434DC"/>
    <w:rsid w:val="4935056C"/>
    <w:rsid w:val="49496E9C"/>
    <w:rsid w:val="4A8D1514"/>
    <w:rsid w:val="4AAB1A96"/>
    <w:rsid w:val="4AAD7467"/>
    <w:rsid w:val="4AEC5995"/>
    <w:rsid w:val="4B257098"/>
    <w:rsid w:val="4B2F63A1"/>
    <w:rsid w:val="4B3E2391"/>
    <w:rsid w:val="4BB3481C"/>
    <w:rsid w:val="4C435DEB"/>
    <w:rsid w:val="4C6C69E8"/>
    <w:rsid w:val="4CA86CE8"/>
    <w:rsid w:val="4D081B8E"/>
    <w:rsid w:val="4D361380"/>
    <w:rsid w:val="4D365B41"/>
    <w:rsid w:val="4D4F6806"/>
    <w:rsid w:val="4F0144D7"/>
    <w:rsid w:val="4F3263C0"/>
    <w:rsid w:val="4F517F97"/>
    <w:rsid w:val="4F8A7B60"/>
    <w:rsid w:val="4FC9093A"/>
    <w:rsid w:val="50406E4E"/>
    <w:rsid w:val="505E2778"/>
    <w:rsid w:val="50642410"/>
    <w:rsid w:val="506D5ADE"/>
    <w:rsid w:val="50B921EC"/>
    <w:rsid w:val="510C0643"/>
    <w:rsid w:val="51510BE7"/>
    <w:rsid w:val="51792F30"/>
    <w:rsid w:val="518C75DB"/>
    <w:rsid w:val="51D40143"/>
    <w:rsid w:val="51E01413"/>
    <w:rsid w:val="52D034A9"/>
    <w:rsid w:val="533F47B1"/>
    <w:rsid w:val="53681065"/>
    <w:rsid w:val="53A7746E"/>
    <w:rsid w:val="53AE09DC"/>
    <w:rsid w:val="53DE489E"/>
    <w:rsid w:val="547D04A3"/>
    <w:rsid w:val="54FA4780"/>
    <w:rsid w:val="555B2DD3"/>
    <w:rsid w:val="55682BE8"/>
    <w:rsid w:val="55806285"/>
    <w:rsid w:val="55D463BA"/>
    <w:rsid w:val="56050016"/>
    <w:rsid w:val="56CD0D0F"/>
    <w:rsid w:val="56E756C1"/>
    <w:rsid w:val="56FA2948"/>
    <w:rsid w:val="573E683A"/>
    <w:rsid w:val="5816144D"/>
    <w:rsid w:val="581C1B4C"/>
    <w:rsid w:val="587B0ACE"/>
    <w:rsid w:val="59B3743B"/>
    <w:rsid w:val="5A5958D2"/>
    <w:rsid w:val="5A6B65FC"/>
    <w:rsid w:val="5B162640"/>
    <w:rsid w:val="5BA929E0"/>
    <w:rsid w:val="5C1F1168"/>
    <w:rsid w:val="5C726A3B"/>
    <w:rsid w:val="5D0236C3"/>
    <w:rsid w:val="5D485594"/>
    <w:rsid w:val="5D885B92"/>
    <w:rsid w:val="5E053485"/>
    <w:rsid w:val="5E3918BE"/>
    <w:rsid w:val="5E6E101C"/>
    <w:rsid w:val="5EE37B59"/>
    <w:rsid w:val="5FD01870"/>
    <w:rsid w:val="5FD44EBD"/>
    <w:rsid w:val="605B7A0D"/>
    <w:rsid w:val="60765980"/>
    <w:rsid w:val="612B2375"/>
    <w:rsid w:val="61A90C02"/>
    <w:rsid w:val="624E12CB"/>
    <w:rsid w:val="633B3D66"/>
    <w:rsid w:val="636A47CF"/>
    <w:rsid w:val="64330ECB"/>
    <w:rsid w:val="6440760A"/>
    <w:rsid w:val="648D1ADE"/>
    <w:rsid w:val="64DC6C6C"/>
    <w:rsid w:val="659B4253"/>
    <w:rsid w:val="66A02B7C"/>
    <w:rsid w:val="66C228B9"/>
    <w:rsid w:val="673D77EB"/>
    <w:rsid w:val="681900A2"/>
    <w:rsid w:val="68206368"/>
    <w:rsid w:val="682703D5"/>
    <w:rsid w:val="68907718"/>
    <w:rsid w:val="690B56C7"/>
    <w:rsid w:val="695170E7"/>
    <w:rsid w:val="698618A5"/>
    <w:rsid w:val="6992632A"/>
    <w:rsid w:val="6A0C77EE"/>
    <w:rsid w:val="6A4175F2"/>
    <w:rsid w:val="6AC774E1"/>
    <w:rsid w:val="6AE02658"/>
    <w:rsid w:val="6B76151E"/>
    <w:rsid w:val="6B7B6B34"/>
    <w:rsid w:val="6C0E025D"/>
    <w:rsid w:val="6C147355"/>
    <w:rsid w:val="6C5C35CA"/>
    <w:rsid w:val="6C5E71A0"/>
    <w:rsid w:val="6C604227"/>
    <w:rsid w:val="6E9053A3"/>
    <w:rsid w:val="6F415A91"/>
    <w:rsid w:val="6FAA03C0"/>
    <w:rsid w:val="70CA22A0"/>
    <w:rsid w:val="71E35EAF"/>
    <w:rsid w:val="72677E32"/>
    <w:rsid w:val="72A30D51"/>
    <w:rsid w:val="72AB1D05"/>
    <w:rsid w:val="72FB4F9D"/>
    <w:rsid w:val="73424EDF"/>
    <w:rsid w:val="745A4BE3"/>
    <w:rsid w:val="74BF44C4"/>
    <w:rsid w:val="756B7F28"/>
    <w:rsid w:val="75E84DF6"/>
    <w:rsid w:val="76311172"/>
    <w:rsid w:val="76CF5F86"/>
    <w:rsid w:val="76FB3B79"/>
    <w:rsid w:val="779E1BE1"/>
    <w:rsid w:val="779F00DE"/>
    <w:rsid w:val="77C81CDA"/>
    <w:rsid w:val="77FB1D2B"/>
    <w:rsid w:val="79500F97"/>
    <w:rsid w:val="796624AB"/>
    <w:rsid w:val="797C460A"/>
    <w:rsid w:val="79AD6A52"/>
    <w:rsid w:val="7A393AB3"/>
    <w:rsid w:val="7AA634A2"/>
    <w:rsid w:val="7B922396"/>
    <w:rsid w:val="7C247A8D"/>
    <w:rsid w:val="7C594CCA"/>
    <w:rsid w:val="7D0C6E22"/>
    <w:rsid w:val="7DB925A6"/>
    <w:rsid w:val="7DDF179A"/>
    <w:rsid w:val="7E086B60"/>
    <w:rsid w:val="7E1A6458"/>
    <w:rsid w:val="7E9C51D7"/>
    <w:rsid w:val="7EC11D33"/>
    <w:rsid w:val="7FFF2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99"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2"/>
    <w:basedOn w:val="1"/>
    <w:next w:val="1"/>
    <w:qFormat/>
    <w:uiPriority w:val="0"/>
    <w:pPr>
      <w:spacing w:before="100" w:beforeAutospacing="1" w:after="100" w:afterAutospacing="1"/>
      <w:jc w:val="left"/>
      <w:outlineLvl w:val="1"/>
    </w:pPr>
    <w:rPr>
      <w:rFonts w:hint="eastAsia" w:ascii="宋体" w:hAnsi="宋体"/>
      <w:b/>
      <w:kern w:val="0"/>
      <w:sz w:val="36"/>
      <w:szCs w:val="36"/>
    </w:rPr>
  </w:style>
  <w:style w:type="paragraph" w:styleId="6">
    <w:name w:val="heading 3"/>
    <w:basedOn w:val="1"/>
    <w:next w:val="1"/>
    <w:qFormat/>
    <w:uiPriority w:val="0"/>
    <w:pPr>
      <w:spacing w:before="100" w:beforeAutospacing="1" w:after="100" w:afterAutospacing="1"/>
      <w:jc w:val="left"/>
      <w:outlineLvl w:val="2"/>
    </w:pPr>
    <w:rPr>
      <w:rFonts w:hint="eastAsia" w:ascii="宋体" w:hAnsi="宋体"/>
      <w:b/>
      <w:kern w:val="0"/>
      <w:sz w:val="27"/>
      <w:szCs w:val="27"/>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after="0"/>
      <w:ind w:firstLine="420" w:firstLineChars="200"/>
    </w:pPr>
  </w:style>
  <w:style w:type="paragraph" w:styleId="3">
    <w:name w:val="Body Text Indent"/>
    <w:basedOn w:val="1"/>
    <w:next w:val="4"/>
    <w:unhideWhenUsed/>
    <w:qFormat/>
    <w:uiPriority w:val="99"/>
    <w:pPr>
      <w:spacing w:after="120"/>
      <w:ind w:left="420" w:leftChars="200"/>
    </w:pPr>
  </w:style>
  <w:style w:type="paragraph" w:styleId="4">
    <w:name w:val="Normal Indent"/>
    <w:basedOn w:val="1"/>
    <w:next w:val="1"/>
    <w:qFormat/>
    <w:uiPriority w:val="0"/>
    <w:pPr>
      <w:ind w:firstLine="420" w:firstLineChars="200"/>
    </w:pPr>
    <w:rPr>
      <w:rFonts w:eastAsia="仿宋"/>
    </w:rPr>
  </w:style>
  <w:style w:type="paragraph" w:styleId="7">
    <w:name w:val="Body Text"/>
    <w:basedOn w:val="1"/>
    <w:qFormat/>
    <w:uiPriority w:val="0"/>
    <w:rPr>
      <w:rFonts w:ascii="华文仿宋" w:hAnsi="华文仿宋"/>
    </w:rPr>
  </w:style>
  <w:style w:type="paragraph" w:styleId="8">
    <w:name w:val="Plain Text"/>
    <w:basedOn w:val="1"/>
    <w:qFormat/>
    <w:uiPriority w:val="0"/>
    <w:rPr>
      <w:rFonts w:ascii="宋体" w:hAnsi="Courier New"/>
      <w:kern w:val="0"/>
      <w:szCs w:val="20"/>
    </w:rPr>
  </w:style>
  <w:style w:type="paragraph" w:styleId="9">
    <w:name w:val="Date"/>
    <w:basedOn w:val="1"/>
    <w:next w:val="1"/>
    <w:link w:val="20"/>
    <w:qFormat/>
    <w:uiPriority w:val="0"/>
    <w:pPr>
      <w:ind w:left="100" w:leftChars="25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qFormat/>
    <w:uiPriority w:val="0"/>
    <w:pPr>
      <w:spacing w:before="100" w:beforeAutospacing="1" w:after="100" w:afterAutospacing="1"/>
      <w:jc w:val="left"/>
    </w:pPr>
    <w:rPr>
      <w:kern w:val="0"/>
      <w:sz w:val="24"/>
    </w:rPr>
  </w:style>
  <w:style w:type="paragraph" w:styleId="13">
    <w:name w:val="Title"/>
    <w:basedOn w:val="1"/>
    <w:next w:val="1"/>
    <w:qFormat/>
    <w:uiPriority w:val="99"/>
    <w:pPr>
      <w:spacing w:before="240" w:after="60" w:line="640" w:lineRule="exact"/>
      <w:jc w:val="center"/>
      <w:outlineLvl w:val="0"/>
    </w:pPr>
    <w:rPr>
      <w:rFonts w:ascii="Cambria" w:hAnsi="Cambria" w:eastAsia="方正小标宋简体"/>
      <w:sz w:val="44"/>
      <w:szCs w:val="44"/>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rPr>
  </w:style>
  <w:style w:type="character" w:styleId="18">
    <w:name w:val="Hyperlink"/>
    <w:qFormat/>
    <w:uiPriority w:val="0"/>
    <w:rPr>
      <w:color w:val="0000FF"/>
      <w:u w:val="single"/>
    </w:rPr>
  </w:style>
  <w:style w:type="paragraph" w:customStyle="1" w:styleId="19">
    <w:name w:val="列出段落1"/>
    <w:basedOn w:val="1"/>
    <w:qFormat/>
    <w:uiPriority w:val="0"/>
    <w:pPr>
      <w:ind w:firstLine="420" w:firstLineChars="200"/>
    </w:pPr>
  </w:style>
  <w:style w:type="character" w:customStyle="1" w:styleId="20">
    <w:name w:val="日期 字符"/>
    <w:link w:val="9"/>
    <w:qFormat/>
    <w:uiPriority w:val="0"/>
    <w:rPr>
      <w:rFonts w:ascii="Calibri" w:hAnsi="Calibr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4100"/>
    <customShpInfo spid="_x0000_s4101"/>
    <customShpInfo spid="_x0000_s4102"/>
    <customShpInfo spid="_x0000_s4097"/>
    <customShpInfo spid="_x0000_s4098"/>
    <customShpInfo spid="_x0000_s4099"/>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CB57F8-5E17-4E93-A86B-15FC2136A5F8}">
  <ds:schemaRefs/>
</ds:datastoreItem>
</file>

<file path=docProps/app.xml><?xml version="1.0" encoding="utf-8"?>
<Properties xmlns="http://schemas.openxmlformats.org/officeDocument/2006/extended-properties" xmlns:vt="http://schemas.openxmlformats.org/officeDocument/2006/docPropsVTypes">
  <Template>Normal</Template>
  <Pages>14</Pages>
  <Words>5723</Words>
  <Characters>5919</Characters>
  <Lines>47</Lines>
  <Paragraphs>13</Paragraphs>
  <TotalTime>1</TotalTime>
  <ScaleCrop>false</ScaleCrop>
  <LinksUpToDate>false</LinksUpToDate>
  <CharactersWithSpaces>6100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2020-05-18T06:59:00Z</dcterms:created>
  <dc:creator>昊柳</dc:creator>
  <cp:lastModifiedBy>辛不凡</cp:lastModifiedBy>
  <cp:lastPrinted>2023-06-01T06:40:00Z</cp:lastPrinted>
  <dcterms:modified xsi:type="dcterms:W3CDTF">2025-03-04T01:56:28Z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338D26E66848461888BAE9AD6A68F278_13</vt:lpwstr>
  </property>
  <property fmtid="{D5CDD505-2E9C-101B-9397-08002B2CF9AE}" pid="3" name="KSOProductBuildVer">
    <vt:lpwstr>2052-12.1.0.20305</vt:lpwstr>
  </property>
  <property fmtid="{D5CDD505-2E9C-101B-9397-08002B2CF9AE}" pid="4" name="KSOTemplateDocerSaveRecord">
    <vt:lpwstr>eyJoZGlkIjoiNGM1ZTE4NWMxMGFjMGQwNDY3ZDVjMmVkODRhZWMwMGYiLCJ1c2VySWQiOiI1NjQwMjIyNjEifQ==</vt:lpwstr>
  </property>
</Properties>
</file>